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395"/>
        <w:gridCol w:w="3175"/>
      </w:tblGrid>
      <w:tr w:rsidR="00EE14EF" w:rsidRPr="00474A2B" w:rsidTr="00C64F25">
        <w:trPr>
          <w:tblCellSpacing w:w="15" w:type="dxa"/>
        </w:trPr>
        <w:tc>
          <w:tcPr>
            <w:tcW w:w="0" w:type="auto"/>
            <w:shd w:val="clear" w:color="auto" w:fill="990000"/>
            <w:vAlign w:val="center"/>
            <w:hideMark/>
          </w:tcPr>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Doxorubicine</w:t>
            </w:r>
            <w:r w:rsidRPr="00474A2B">
              <w:rPr>
                <w:rFonts w:ascii="Times New Roman" w:eastAsia="Times New Roman" w:hAnsi="Times New Roman" w:cs="Times New Roman"/>
                <w:color w:val="000000"/>
                <w:sz w:val="24"/>
                <w:szCs w:val="24"/>
                <w:lang w:eastAsia="fr-FR"/>
              </w:rPr>
              <w:t xml:space="preserve"> </w:t>
            </w:r>
          </w:p>
        </w:tc>
        <w:tc>
          <w:tcPr>
            <w:tcW w:w="0" w:type="auto"/>
            <w:vAlign w:val="center"/>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Verdana" w:eastAsia="Times New Roman" w:hAnsi="Verdana" w:cs="Times New Roman"/>
                <w:b/>
                <w:bCs/>
                <w:color w:val="990000"/>
                <w:sz w:val="24"/>
                <w:szCs w:val="24"/>
                <w:lang w:eastAsia="fr-FR"/>
              </w:rPr>
              <w:t>EFFETS INDÉSIRABLES</w:t>
            </w:r>
          </w:p>
        </w:tc>
      </w:tr>
    </w:tbl>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Dans les études cliniques réalisées dans le cancer du sein et de l'ovaire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4 semaines), l'effet indésirable le plus fréquemment rapporté était l'</w:t>
      </w:r>
      <w:proofErr w:type="spellStart"/>
      <w:r w:rsidRPr="00474A2B">
        <w:rPr>
          <w:rFonts w:ascii="Times New Roman" w:eastAsia="Times New Roman" w:hAnsi="Times New Roman" w:cs="Times New Roman"/>
          <w:color w:val="000000"/>
          <w:sz w:val="24"/>
          <w:szCs w:val="24"/>
          <w:lang w:eastAsia="fr-FR"/>
        </w:rPr>
        <w:t>érythrodysesthésie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palmoplantaire</w:t>
      </w:r>
      <w:proofErr w:type="spellEnd"/>
      <w:r w:rsidRPr="00474A2B">
        <w:rPr>
          <w:rFonts w:ascii="Times New Roman" w:eastAsia="Times New Roman" w:hAnsi="Times New Roman" w:cs="Times New Roman"/>
          <w:color w:val="000000"/>
          <w:sz w:val="24"/>
          <w:szCs w:val="24"/>
          <w:lang w:eastAsia="fr-FR"/>
        </w:rPr>
        <w:t xml:space="preserve"> (EPP). L'incidence globale d'EPP rapportée était de 44,0 %-46,1 %. Ces effets étaient généralement légers ; les cas sévères (grade 3) sont rapportés dans 17 %-19,5 % des cas. L'incidence des cas affectant le pronostic vital (grade 4) était inférieure à 1 %. Les EPP ont peu fréquemment conduit à un arrêt définitif du traitement (3,7 %-7,0 %). L'EPP est caractérisée par une éruption cutanée douloureuse </w:t>
      </w:r>
      <w:proofErr w:type="spellStart"/>
      <w:r w:rsidRPr="00474A2B">
        <w:rPr>
          <w:rFonts w:ascii="Times New Roman" w:eastAsia="Times New Roman" w:hAnsi="Times New Roman" w:cs="Times New Roman"/>
          <w:color w:val="000000"/>
          <w:sz w:val="24"/>
          <w:szCs w:val="24"/>
          <w:lang w:eastAsia="fr-FR"/>
        </w:rPr>
        <w:t>maculo</w:t>
      </w:r>
      <w:proofErr w:type="spellEnd"/>
      <w:r w:rsidRPr="00474A2B">
        <w:rPr>
          <w:rFonts w:ascii="Times New Roman" w:eastAsia="Times New Roman" w:hAnsi="Times New Roman" w:cs="Times New Roman"/>
          <w:color w:val="000000"/>
          <w:sz w:val="24"/>
          <w:szCs w:val="24"/>
          <w:lang w:eastAsia="fr-FR"/>
        </w:rPr>
        <w:t xml:space="preserve">-érythémateuse. Cet effet apparaît généralement après deux ou trois cycles de traitement. Une amélioration survient habituellement en 1 à 2 semaines et, dans certains cas, la disparition complète des symptômes peut prendre jusqu'à 4 semaines, voire plus. De la pyridoxine à la dose de 50-150 mg par jour, associée à des corticoïdes, a été utilisée pour la prophylaxie et le traitement de l'EPP, toutefois ce traitement n'a pas été évalué pendant les études de phase III. Afin de prévenir et de traiter l'EPP, les patients peuvent effectuer des bains d'eau froide (applications, bains ou natation) pendant les 4 à 7 jours suivant l'initiation du traitement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ceci afin de maintenir au froid les pieds et les mains en évitant l'exposition à la chaleur et à l'eau chaude. Toute compression des extrémités doit être évitée (pas de chaussettes, de gants ou de chaussures trop serrées). L'EPP semble principalement liée au schéma thérapeutique et peut être réduite en espaçant l'intervalle de dose de 1 à 2 semaines supplémentaires (</w:t>
      </w:r>
      <w:proofErr w:type="spellStart"/>
      <w:r w:rsidRPr="00474A2B">
        <w:rPr>
          <w:rFonts w:ascii="Times New Roman" w:eastAsia="Times New Roman" w:hAnsi="Times New Roman" w:cs="Times New Roman"/>
          <w:color w:val="000000"/>
          <w:sz w:val="24"/>
          <w:szCs w:val="24"/>
          <w:lang w:eastAsia="fr-FR"/>
        </w:rPr>
        <w:t>cf</w:t>
      </w:r>
      <w:proofErr w:type="spellEnd"/>
      <w:r w:rsidRPr="00474A2B">
        <w:rPr>
          <w:rFonts w:ascii="Times New Roman" w:eastAsia="Times New Roman" w:hAnsi="Times New Roman" w:cs="Times New Roman"/>
          <w:color w:val="000000"/>
          <w:sz w:val="24"/>
          <w:szCs w:val="24"/>
          <w:lang w:eastAsia="fr-FR"/>
        </w:rPr>
        <w:t> Posologie et Mode d'administration). Cependant, chez certains patients, cette réaction peut être sévère et invalidante et nécessiter l'arrêt du traitement. Les autres effets le plus fréquemment rapportés dans les sous-groupes cancer du sein ou de l'ovaire étaient stomatites-</w:t>
      </w:r>
      <w:proofErr w:type="spellStart"/>
      <w:r w:rsidRPr="00474A2B">
        <w:rPr>
          <w:rFonts w:ascii="Times New Roman" w:eastAsia="Times New Roman" w:hAnsi="Times New Roman" w:cs="Times New Roman"/>
          <w:color w:val="000000"/>
          <w:sz w:val="24"/>
          <w:szCs w:val="24"/>
          <w:lang w:eastAsia="fr-FR"/>
        </w:rPr>
        <w:t>mucites</w:t>
      </w:r>
      <w:proofErr w:type="spellEnd"/>
      <w:r w:rsidRPr="00474A2B">
        <w:rPr>
          <w:rFonts w:ascii="Times New Roman" w:eastAsia="Times New Roman" w:hAnsi="Times New Roman" w:cs="Times New Roman"/>
          <w:color w:val="000000"/>
          <w:sz w:val="24"/>
          <w:szCs w:val="24"/>
          <w:lang w:eastAsia="fr-FR"/>
        </w:rPr>
        <w:t xml:space="preserve"> et nausées, alors que dans le sous-groupe SK-sida (20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2 semaines) il s'agissait de </w:t>
      </w:r>
      <w:proofErr w:type="spellStart"/>
      <w:r w:rsidRPr="00474A2B">
        <w:rPr>
          <w:rFonts w:ascii="Times New Roman" w:eastAsia="Times New Roman" w:hAnsi="Times New Roman" w:cs="Times New Roman"/>
          <w:color w:val="000000"/>
          <w:sz w:val="24"/>
          <w:szCs w:val="24"/>
          <w:lang w:eastAsia="fr-FR"/>
        </w:rPr>
        <w:t>myélosuppressions</w:t>
      </w:r>
      <w:proofErr w:type="spellEnd"/>
      <w:r w:rsidRPr="00474A2B">
        <w:rPr>
          <w:rFonts w:ascii="Times New Roman" w:eastAsia="Times New Roman" w:hAnsi="Times New Roman" w:cs="Times New Roman"/>
          <w:color w:val="000000"/>
          <w:sz w:val="24"/>
          <w:szCs w:val="24"/>
          <w:lang w:eastAsia="fr-FR"/>
        </w:rPr>
        <w:t xml:space="preserve"> (surtout leucopénies) : </w:t>
      </w:r>
      <w:proofErr w:type="spellStart"/>
      <w:r w:rsidRPr="00474A2B">
        <w:rPr>
          <w:rFonts w:ascii="Times New Roman" w:eastAsia="Times New Roman" w:hAnsi="Times New Roman" w:cs="Times New Roman"/>
          <w:color w:val="000000"/>
          <w:sz w:val="24"/>
          <w:szCs w:val="24"/>
          <w:lang w:eastAsia="fr-FR"/>
        </w:rPr>
        <w:t>cf</w:t>
      </w:r>
      <w:proofErr w:type="spellEnd"/>
      <w:r w:rsidRPr="00474A2B">
        <w:rPr>
          <w:rFonts w:ascii="Times New Roman" w:eastAsia="Times New Roman" w:hAnsi="Times New Roman" w:cs="Times New Roman"/>
          <w:color w:val="000000"/>
          <w:sz w:val="24"/>
          <w:szCs w:val="24"/>
          <w:lang w:eastAsia="fr-FR"/>
        </w:rPr>
        <w:t xml:space="preserve"> SK-sida. Une EPP a été rapportée chez 16 % des patients atteints de myélome multiple traités par l'association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Une EPP de grade 3 a été rapportée chez 5 % des patients. Aucune EPP de grade 4 n'a été rapportée. Les événements indésirables le plus fréquemment rapportés (survenus pendant le traitement et imputés à celui-ci) sous l'association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étaient les suivants : nausées (40 %), diarrhée (35 %), neutropénie (33 %),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 xml:space="preserve"> (29 %), vomissements (28 %), fatigue (27 %) et constipation (22 %).</w:t>
      </w:r>
    </w:p>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Cancer du sein :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Lors d'une étude clinique de phase III (I97-328), 509 patients avec un cancer du sein avancé, n'ayant pas reçu de chimiothérapie préalable pour leur maladie métastatique, ont été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(n = 254) à la dose de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4 semaines ou par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(n = 255) à la dose de 60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3 semaines. Les effets indésirables les plus fréquents ont été plus souvent rapportés dans le sous-groupe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que dans le sous-groupe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 nausée (53 % vs 37 % ; grades 3/4 5 % vs 3 %), vomissement (31 % vs 19 % ; grades 3/4 4 % vs &lt; 1 %), alopécie quelle que soit la sévérité (66 % vs 20 %), alopécie significative (54 % vs 7 %) et neutropénie (10 % vs 4 % ; grades 3/4 8 % vs 2 %).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proofErr w:type="spellStart"/>
      <w:r w:rsidRPr="00474A2B">
        <w:rPr>
          <w:rFonts w:ascii="Times New Roman" w:eastAsia="Times New Roman" w:hAnsi="Times New Roman" w:cs="Times New Roman"/>
          <w:color w:val="000000"/>
          <w:sz w:val="24"/>
          <w:szCs w:val="24"/>
          <w:lang w:eastAsia="fr-FR"/>
        </w:rPr>
        <w:t>Mucites</w:t>
      </w:r>
      <w:proofErr w:type="spellEnd"/>
      <w:r w:rsidRPr="00474A2B">
        <w:rPr>
          <w:rFonts w:ascii="Times New Roman" w:eastAsia="Times New Roman" w:hAnsi="Times New Roman" w:cs="Times New Roman"/>
          <w:color w:val="000000"/>
          <w:sz w:val="24"/>
          <w:szCs w:val="24"/>
          <w:lang w:eastAsia="fr-FR"/>
        </w:rPr>
        <w:t xml:space="preserve"> (23 % vs 13 % ; grades 3/4 4 % vs 2 %) et stomatites (22 % vs 15 % ; grades 3/4 5 % vs 2 %) ont été rapportées plus fréquemment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qu'avec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La durée moyenne de l'effet indésirable sévère (grades 3/4) le plus fréquent dans les deux groupes était inférieure ou égale à 30 jours. Voir le tableau 5 pour la liste complète des effets indésirables rapportés chez les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L'incidence des effets hématologiques mettant en jeu le pronostic vital (grade 4) était &lt; 1 % et une septicémie était rapportée chez 1 % des patients. Un apport en facteur de croissance ou une transfusion a été nécessaire chez respectivement 5,1 % et 5,5 % des patients (</w:t>
      </w:r>
      <w:proofErr w:type="spellStart"/>
      <w:r w:rsidRPr="00474A2B">
        <w:rPr>
          <w:rFonts w:ascii="Times New Roman" w:eastAsia="Times New Roman" w:hAnsi="Times New Roman" w:cs="Times New Roman"/>
          <w:color w:val="000000"/>
          <w:sz w:val="24"/>
          <w:szCs w:val="24"/>
          <w:lang w:eastAsia="fr-FR"/>
        </w:rPr>
        <w:t>cf</w:t>
      </w:r>
      <w:proofErr w:type="spellEnd"/>
      <w:r w:rsidRPr="00474A2B">
        <w:rPr>
          <w:rFonts w:ascii="Times New Roman" w:eastAsia="Times New Roman" w:hAnsi="Times New Roman" w:cs="Times New Roman"/>
          <w:color w:val="000000"/>
          <w:sz w:val="24"/>
          <w:szCs w:val="24"/>
          <w:lang w:eastAsia="fr-FR"/>
        </w:rPr>
        <w:t xml:space="preserve"> Posologie et Mode d'administration).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Des anomalies biologiques de la fonction hépatique cliniquement significatives (grades 3 et 4) avec élévation de la bilirubine totale, ASAT et ALAT ont été rapportées chez respectivement 2,4 %, 1,6 % et &lt; 1 % des patients du groupe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Aucune élévation de la créatinine sérique cliniquement significative n'a été rapportée.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15"/>
        <w:gridCol w:w="2325"/>
        <w:gridCol w:w="1749"/>
        <w:gridCol w:w="2813"/>
      </w:tblGrid>
      <w:tr w:rsidR="00EE14EF" w:rsidRPr="00474A2B" w:rsidTr="00C64F25">
        <w:trPr>
          <w:tblCellSpacing w:w="7" w:type="dxa"/>
        </w:trPr>
        <w:tc>
          <w:tcPr>
            <w:tcW w:w="0" w:type="auto"/>
            <w:gridSpan w:val="4"/>
            <w:tcBorders>
              <w:top w:val="nil"/>
              <w:left w:val="nil"/>
              <w:bottom w:val="nil"/>
              <w:right w:val="nil"/>
            </w:tcBorders>
            <w:vAlign w:val="center"/>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Tableau 5 :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Effets indésirables liés au traitement et rapportés dans les études cliniques dans le cancer du sein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4 semaines)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par sévérité, classe des systèmes d'organes et termes préférentiels </w:t>
            </w:r>
            <w:proofErr w:type="spellStart"/>
            <w:r w:rsidRPr="00474A2B">
              <w:rPr>
                <w:rFonts w:ascii="Times New Roman" w:eastAsia="Times New Roman" w:hAnsi="Times New Roman" w:cs="Times New Roman"/>
                <w:color w:val="000000"/>
                <w:sz w:val="24"/>
                <w:szCs w:val="24"/>
                <w:lang w:eastAsia="fr-FR"/>
              </w:rPr>
              <w:t>MedDRA</w:t>
            </w:r>
            <w:proofErr w:type="spellEnd"/>
            <w:r w:rsidRPr="00474A2B">
              <w:rPr>
                <w:rFonts w:ascii="Times New Roman" w:eastAsia="Times New Roman" w:hAnsi="Times New Roman" w:cs="Times New Roman"/>
                <w:color w:val="000000"/>
                <w:sz w:val="24"/>
                <w:szCs w:val="24"/>
                <w:lang w:eastAsia="fr-FR"/>
              </w:rPr>
              <w:br/>
              <w:t xml:space="preserve">Très fréquent (&gt;= 1/10), fréquent (&gt;= 1/100, &lt; 1/10), peu fréquent (&gt;= 1/1000, &lt; 1/100) : CIOMS III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Effet indésirable par localisation corporelle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Cancer du sein</w:t>
            </w:r>
            <w:r w:rsidRPr="00474A2B">
              <w:rPr>
                <w:rFonts w:ascii="Times New Roman" w:eastAsia="Times New Roman" w:hAnsi="Times New Roman" w:cs="Times New Roman"/>
                <w:color w:val="000000"/>
                <w:sz w:val="24"/>
                <w:szCs w:val="24"/>
                <w:lang w:eastAsia="fr-FR"/>
              </w:rPr>
              <w:br/>
              <w:t>Toutes sévérités</w:t>
            </w:r>
            <w:r w:rsidRPr="00474A2B">
              <w:rPr>
                <w:rFonts w:ascii="Times New Roman" w:eastAsia="Times New Roman" w:hAnsi="Times New Roman" w:cs="Times New Roman"/>
                <w:color w:val="000000"/>
                <w:sz w:val="24"/>
                <w:szCs w:val="24"/>
                <w:lang w:eastAsia="fr-FR"/>
              </w:rPr>
              <w:br/>
              <w:t>n = 254</w:t>
            </w:r>
            <w:r w:rsidRPr="00474A2B">
              <w:rPr>
                <w:rFonts w:ascii="Times New Roman" w:eastAsia="Times New Roman" w:hAnsi="Times New Roman" w:cs="Times New Roman"/>
                <w:color w:val="000000"/>
                <w:sz w:val="24"/>
                <w:szCs w:val="24"/>
                <w:lang w:eastAsia="fr-FR"/>
              </w:rPr>
              <w:br/>
              <w:t xml:space="preserve">(&gt;= 5 %)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Cancer du sein</w:t>
            </w:r>
            <w:r w:rsidRPr="00474A2B">
              <w:rPr>
                <w:rFonts w:ascii="Times New Roman" w:eastAsia="Times New Roman" w:hAnsi="Times New Roman" w:cs="Times New Roman"/>
                <w:color w:val="000000"/>
                <w:sz w:val="24"/>
                <w:szCs w:val="24"/>
                <w:lang w:eastAsia="fr-FR"/>
              </w:rPr>
              <w:br/>
              <w:t>Grades 3/4</w:t>
            </w:r>
            <w:r w:rsidRPr="00474A2B">
              <w:rPr>
                <w:rFonts w:ascii="Times New Roman" w:eastAsia="Times New Roman" w:hAnsi="Times New Roman" w:cs="Times New Roman"/>
                <w:color w:val="000000"/>
                <w:sz w:val="24"/>
                <w:szCs w:val="24"/>
                <w:lang w:eastAsia="fr-FR"/>
              </w:rPr>
              <w:br/>
              <w:t>n = 254</w:t>
            </w:r>
            <w:r w:rsidRPr="00474A2B">
              <w:rPr>
                <w:rFonts w:ascii="Times New Roman" w:eastAsia="Times New Roman" w:hAnsi="Times New Roman" w:cs="Times New Roman"/>
                <w:color w:val="000000"/>
                <w:sz w:val="24"/>
                <w:szCs w:val="24"/>
                <w:lang w:eastAsia="fr-FR"/>
              </w:rPr>
              <w:br/>
              <w:t xml:space="preserve">(&gt;= 5 %)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Cancer du sein</w:t>
            </w:r>
            <w:r w:rsidRPr="00474A2B">
              <w:rPr>
                <w:rFonts w:ascii="Times New Roman" w:eastAsia="Times New Roman" w:hAnsi="Times New Roman" w:cs="Times New Roman"/>
                <w:color w:val="000000"/>
                <w:sz w:val="24"/>
                <w:szCs w:val="24"/>
                <w:lang w:eastAsia="fr-FR"/>
              </w:rPr>
              <w:br/>
              <w:t>n = 404</w:t>
            </w:r>
            <w:r w:rsidRPr="00474A2B">
              <w:rPr>
                <w:rFonts w:ascii="Times New Roman" w:eastAsia="Times New Roman" w:hAnsi="Times New Roman" w:cs="Times New Roman"/>
                <w:color w:val="000000"/>
                <w:sz w:val="24"/>
                <w:szCs w:val="24"/>
                <w:lang w:eastAsia="fr-FR"/>
              </w:rPr>
              <w:br/>
              <w:t>(1-5 %)</w:t>
            </w:r>
            <w:r w:rsidRPr="00474A2B">
              <w:rPr>
                <w:rFonts w:ascii="Times New Roman" w:eastAsia="Times New Roman" w:hAnsi="Times New Roman" w:cs="Times New Roman"/>
                <w:color w:val="000000"/>
                <w:sz w:val="24"/>
                <w:szCs w:val="24"/>
                <w:lang w:eastAsia="fr-FR"/>
              </w:rPr>
              <w:br/>
              <w:t xml:space="preserve">Non précédemment rapportés dans les études cliniques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Infections et infestations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Pharyngite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Folliculite, infection fongique, bouton de fièvre (non herpétique), infection du tractus respiratoire supérieur</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Pharyngite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hématologiques et du système lymphatique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Leucopénie, anémie, neutropénie, </w:t>
            </w:r>
            <w:proofErr w:type="spellStart"/>
            <w:r w:rsidRPr="00474A2B">
              <w:rPr>
                <w:rFonts w:ascii="Times New Roman" w:eastAsia="Times New Roman" w:hAnsi="Times New Roman" w:cs="Times New Roman"/>
                <w:color w:val="000000"/>
                <w:sz w:val="24"/>
                <w:szCs w:val="24"/>
                <w:lang w:eastAsia="fr-FR"/>
              </w:rPr>
              <w:t>thrombocytopénie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Leucopénie, anémie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w:t>
            </w:r>
            <w:proofErr w:type="spellStart"/>
            <w:r w:rsidRPr="00474A2B">
              <w:rPr>
                <w:rFonts w:ascii="Times New Roman" w:eastAsia="Times New Roman" w:hAnsi="Times New Roman" w:cs="Times New Roman"/>
                <w:color w:val="000000"/>
                <w:sz w:val="24"/>
                <w:szCs w:val="24"/>
                <w:lang w:eastAsia="fr-FR"/>
              </w:rPr>
              <w:t>Thrombocythémie</w:t>
            </w:r>
            <w:proofErr w:type="spellEnd"/>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Neutropénie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Troubles du métabolisme et de la nutrition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Anorexie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Anorexie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du système nerveux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Paresthésie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Paresthésie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Neuropathie périphérique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Somnolence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oculaires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Larmoiement, vision trouble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cardiaques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Arythmie ventriculaire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474A2B">
              <w:rPr>
                <w:rFonts w:ascii="Times New Roman" w:eastAsia="Times New Roman" w:hAnsi="Times New Roman" w:cs="Times New Roman"/>
                <w:i/>
                <w:iCs/>
                <w:color w:val="000000"/>
                <w:sz w:val="24"/>
                <w:szCs w:val="24"/>
                <w:lang w:eastAsia="fr-FR"/>
              </w:rPr>
              <w:t>médiastinales</w:t>
            </w:r>
            <w:proofErr w:type="spellEnd"/>
            <w:r w:rsidRPr="00474A2B">
              <w:rPr>
                <w:rFonts w:ascii="Times New Roman" w:eastAsia="Times New Roman" w:hAnsi="Times New Roman" w:cs="Times New Roman"/>
                <w:i/>
                <w:iCs/>
                <w:color w:val="000000"/>
                <w:sz w:val="24"/>
                <w:szCs w:val="24"/>
                <w:lang w:eastAsia="fr-FR"/>
              </w:rPr>
              <w:t>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Épistaxis</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lastRenderedPageBreak/>
              <w:t>Affections gastro-intestinales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Nausées, stomatite, vomissement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abdominale, constipation, diarrhée, dyspepsie, ulcération buccale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abdominale, diarrhée, nausées, stomatite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buccale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Ulcération buccale, constipation, vomissement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de la peau et du tissu sous-cutané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EPP</w:t>
            </w: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alopécie, rash</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EPP</w:t>
            </w:r>
            <w:r w:rsidRPr="00474A2B">
              <w:rPr>
                <w:rFonts w:ascii="Times New Roman" w:eastAsia="Times New Roman" w:hAnsi="Times New Roman" w:cs="Times New Roman"/>
                <w:color w:val="000000"/>
                <w:sz w:val="24"/>
                <w:szCs w:val="24"/>
                <w:vertAlign w:val="superscript"/>
                <w:lang w:eastAsia="fr-FR"/>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Peau sèche, décoloration de la peau, pigmentation anormale, érythème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Rash</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Éruption bulleuse, dermatite, rash érythémateux, anomalies des ongles, peau squameuse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Pigmentation anormale, érythème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Affections </w:t>
            </w:r>
            <w:proofErr w:type="spellStart"/>
            <w:r w:rsidRPr="00474A2B">
              <w:rPr>
                <w:rFonts w:ascii="Times New Roman" w:eastAsia="Times New Roman" w:hAnsi="Times New Roman" w:cs="Times New Roman"/>
                <w:i/>
                <w:iCs/>
                <w:color w:val="000000"/>
                <w:sz w:val="24"/>
                <w:szCs w:val="24"/>
                <w:lang w:eastAsia="fr-FR"/>
              </w:rPr>
              <w:t>musculosquelettiques</w:t>
            </w:r>
            <w:proofErr w:type="spellEnd"/>
            <w:r w:rsidRPr="00474A2B">
              <w:rPr>
                <w:rFonts w:ascii="Times New Roman" w:eastAsia="Times New Roman" w:hAnsi="Times New Roman" w:cs="Times New Roman"/>
                <w:i/>
                <w:iCs/>
                <w:color w:val="000000"/>
                <w:sz w:val="24"/>
                <w:szCs w:val="24"/>
                <w:lang w:eastAsia="fr-FR"/>
              </w:rPr>
              <w:t xml:space="preserve"> et systémiques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Crampes musculaires au niveau des jambes, douleur osseuse, douleur </w:t>
            </w:r>
            <w:proofErr w:type="spellStart"/>
            <w:r w:rsidRPr="00474A2B">
              <w:rPr>
                <w:rFonts w:ascii="Times New Roman" w:eastAsia="Times New Roman" w:hAnsi="Times New Roman" w:cs="Times New Roman"/>
                <w:color w:val="000000"/>
                <w:sz w:val="24"/>
                <w:szCs w:val="24"/>
                <w:lang w:eastAsia="fr-FR"/>
              </w:rPr>
              <w:t>musculosquelettique</w:t>
            </w:r>
            <w:proofErr w:type="spellEnd"/>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des organes de reproduction et du sein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mammaire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Troubles généraux et anomalies au site d'administration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Asthénie, fatigue, </w:t>
            </w:r>
            <w:proofErr w:type="spellStart"/>
            <w:r w:rsidRPr="00474A2B">
              <w:rPr>
                <w:rFonts w:ascii="Times New Roman" w:eastAsia="Times New Roman" w:hAnsi="Times New Roman" w:cs="Times New Roman"/>
                <w:color w:val="000000"/>
                <w:sz w:val="24"/>
                <w:szCs w:val="24"/>
                <w:lang w:eastAsia="fr-FR"/>
              </w:rPr>
              <w:t>mucite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Faiblesse, fièvre, douleur</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Asthénie, </w:t>
            </w:r>
            <w:proofErr w:type="spellStart"/>
            <w:r w:rsidRPr="00474A2B">
              <w:rPr>
                <w:rFonts w:ascii="Times New Roman" w:eastAsia="Times New Roman" w:hAnsi="Times New Roman" w:cs="Times New Roman"/>
                <w:color w:val="000000"/>
                <w:sz w:val="24"/>
                <w:szCs w:val="24"/>
                <w:lang w:eastAsia="fr-FR"/>
              </w:rPr>
              <w:t>mucite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w:t>
            </w:r>
            <w:proofErr w:type="spellStart"/>
            <w:r w:rsidRPr="00474A2B">
              <w:rPr>
                <w:rFonts w:ascii="Times New Roman" w:eastAsia="Times New Roman" w:hAnsi="Times New Roman" w:cs="Times New Roman"/>
                <w:color w:val="000000"/>
                <w:sz w:val="24"/>
                <w:szCs w:val="24"/>
                <w:lang w:eastAsia="fr-FR"/>
              </w:rPr>
              <w:t>OEdème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oedème</w:t>
            </w:r>
            <w:proofErr w:type="spellEnd"/>
            <w:r w:rsidRPr="00474A2B">
              <w:rPr>
                <w:rFonts w:ascii="Times New Roman" w:eastAsia="Times New Roman" w:hAnsi="Times New Roman" w:cs="Times New Roman"/>
                <w:color w:val="000000"/>
                <w:sz w:val="24"/>
                <w:szCs w:val="24"/>
                <w:lang w:eastAsia="fr-FR"/>
              </w:rPr>
              <w:t xml:space="preserve"> des membres inférieurs</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Fatigue, faiblesse, douleur</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bl>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0"/>
          <w:szCs w:val="20"/>
          <w:lang w:eastAsia="fr-FR"/>
        </w:rPr>
        <w:t>Érythrodysesthésie</w:t>
      </w:r>
      <w:proofErr w:type="spellEnd"/>
      <w:r w:rsidRPr="00474A2B">
        <w:rPr>
          <w:rFonts w:ascii="Times New Roman" w:eastAsia="Times New Roman" w:hAnsi="Times New Roman" w:cs="Times New Roman"/>
          <w:color w:val="000000"/>
          <w:sz w:val="20"/>
          <w:szCs w:val="20"/>
          <w:lang w:eastAsia="fr-FR"/>
        </w:rPr>
        <w:t xml:space="preserve"> </w:t>
      </w:r>
      <w:proofErr w:type="spellStart"/>
      <w:r w:rsidRPr="00474A2B">
        <w:rPr>
          <w:rFonts w:ascii="Times New Roman" w:eastAsia="Times New Roman" w:hAnsi="Times New Roman" w:cs="Times New Roman"/>
          <w:color w:val="000000"/>
          <w:sz w:val="20"/>
          <w:szCs w:val="20"/>
          <w:lang w:eastAsia="fr-FR"/>
        </w:rPr>
        <w:t>palmoplantaire</w:t>
      </w:r>
      <w:proofErr w:type="spellEnd"/>
      <w:r w:rsidRPr="00474A2B">
        <w:rPr>
          <w:rFonts w:ascii="Times New Roman" w:eastAsia="Times New Roman" w:hAnsi="Times New Roman" w:cs="Times New Roman"/>
          <w:color w:val="000000"/>
          <w:sz w:val="20"/>
          <w:szCs w:val="20"/>
          <w:lang w:eastAsia="fr-FR"/>
        </w:rPr>
        <w:t xml:space="preserve"> (syndrome mains-pieds).</w:t>
      </w:r>
    </w:p>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Cancer de l'ovaire :</w:t>
      </w:r>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512 patientes avec un cancer de l'ovaire (sous-groupe parmi 876 patients ayant une tumeur solide) ont été traitées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à la dose de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au cours des études cliniques. Voir le tableau 6 pour les effets indésirables rapportés chez les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1"/>
        <w:gridCol w:w="2189"/>
        <w:gridCol w:w="2255"/>
        <w:gridCol w:w="2767"/>
      </w:tblGrid>
      <w:tr w:rsidR="00EE14EF" w:rsidRPr="00474A2B" w:rsidTr="00C64F25">
        <w:trPr>
          <w:tblCellSpacing w:w="7" w:type="dxa"/>
        </w:trPr>
        <w:tc>
          <w:tcPr>
            <w:tcW w:w="0" w:type="auto"/>
            <w:gridSpan w:val="4"/>
            <w:tcBorders>
              <w:top w:val="nil"/>
              <w:left w:val="nil"/>
              <w:bottom w:val="nil"/>
              <w:right w:val="nil"/>
            </w:tcBorders>
            <w:vAlign w:val="center"/>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Tableau 6 :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Effets indésirables liés au traitement et rapportés dans les études cliniques dans le cancer de l'ovaire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4 semaines)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par sévérité, classe des systèmes d'organes et termes préférentiels </w:t>
            </w:r>
            <w:proofErr w:type="spellStart"/>
            <w:r w:rsidRPr="00474A2B">
              <w:rPr>
                <w:rFonts w:ascii="Times New Roman" w:eastAsia="Times New Roman" w:hAnsi="Times New Roman" w:cs="Times New Roman"/>
                <w:color w:val="000000"/>
                <w:sz w:val="24"/>
                <w:szCs w:val="24"/>
                <w:lang w:eastAsia="fr-FR"/>
              </w:rPr>
              <w:t>MedDRA</w:t>
            </w:r>
            <w:proofErr w:type="spellEnd"/>
            <w:r w:rsidRPr="00474A2B">
              <w:rPr>
                <w:rFonts w:ascii="Times New Roman" w:eastAsia="Times New Roman" w:hAnsi="Times New Roman" w:cs="Times New Roman"/>
                <w:color w:val="000000"/>
                <w:sz w:val="24"/>
                <w:szCs w:val="24"/>
                <w:lang w:eastAsia="fr-FR"/>
              </w:rPr>
              <w:t>.</w:t>
            </w:r>
            <w:r w:rsidRPr="00474A2B">
              <w:rPr>
                <w:rFonts w:ascii="Times New Roman" w:eastAsia="Times New Roman" w:hAnsi="Times New Roman" w:cs="Times New Roman"/>
                <w:color w:val="000000"/>
                <w:sz w:val="24"/>
                <w:szCs w:val="24"/>
                <w:lang w:eastAsia="fr-FR"/>
              </w:rPr>
              <w:br/>
              <w:t xml:space="preserve">Très fréquent (&gt;= 1/10), fréquent (&gt;= 1/100, &lt; 1/10), peu fréquent (&gt;= 1/1000, &lt; 1/100) : CIOMS III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Effet indésirable par localisation corporelle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Cancer de l'ovaire</w:t>
            </w:r>
            <w:r w:rsidRPr="00474A2B">
              <w:rPr>
                <w:rFonts w:ascii="Times New Roman" w:eastAsia="Times New Roman" w:hAnsi="Times New Roman" w:cs="Times New Roman"/>
                <w:color w:val="000000"/>
                <w:sz w:val="24"/>
                <w:szCs w:val="24"/>
                <w:lang w:eastAsia="fr-FR"/>
              </w:rPr>
              <w:br/>
              <w:t>Toutes sévérités</w:t>
            </w:r>
            <w:r w:rsidRPr="00474A2B">
              <w:rPr>
                <w:rFonts w:ascii="Times New Roman" w:eastAsia="Times New Roman" w:hAnsi="Times New Roman" w:cs="Times New Roman"/>
                <w:color w:val="000000"/>
                <w:sz w:val="24"/>
                <w:szCs w:val="24"/>
                <w:lang w:eastAsia="fr-FR"/>
              </w:rPr>
              <w:br/>
              <w:t>n = 512</w:t>
            </w:r>
            <w:r w:rsidRPr="00474A2B">
              <w:rPr>
                <w:rFonts w:ascii="Times New Roman" w:eastAsia="Times New Roman" w:hAnsi="Times New Roman" w:cs="Times New Roman"/>
                <w:color w:val="000000"/>
                <w:sz w:val="24"/>
                <w:szCs w:val="24"/>
                <w:lang w:eastAsia="fr-FR"/>
              </w:rPr>
              <w:br/>
              <w:t xml:space="preserve">(&gt;= 5 %)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Cancer de l'ovaire</w:t>
            </w:r>
            <w:r w:rsidRPr="00474A2B">
              <w:rPr>
                <w:rFonts w:ascii="Times New Roman" w:eastAsia="Times New Roman" w:hAnsi="Times New Roman" w:cs="Times New Roman"/>
                <w:color w:val="000000"/>
                <w:sz w:val="24"/>
                <w:szCs w:val="24"/>
                <w:lang w:eastAsia="fr-FR"/>
              </w:rPr>
              <w:br/>
              <w:t>Grades 3/4</w:t>
            </w:r>
            <w:r w:rsidRPr="00474A2B">
              <w:rPr>
                <w:rFonts w:ascii="Times New Roman" w:eastAsia="Times New Roman" w:hAnsi="Times New Roman" w:cs="Times New Roman"/>
                <w:color w:val="000000"/>
                <w:sz w:val="24"/>
                <w:szCs w:val="24"/>
                <w:lang w:eastAsia="fr-FR"/>
              </w:rPr>
              <w:br/>
              <w:t>n = 512</w:t>
            </w:r>
            <w:r w:rsidRPr="00474A2B">
              <w:rPr>
                <w:rFonts w:ascii="Times New Roman" w:eastAsia="Times New Roman" w:hAnsi="Times New Roman" w:cs="Times New Roman"/>
                <w:color w:val="000000"/>
                <w:sz w:val="24"/>
                <w:szCs w:val="24"/>
                <w:lang w:eastAsia="fr-FR"/>
              </w:rPr>
              <w:br/>
              <w:t xml:space="preserve">(&gt;= 5 %)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Cancer de l'ovaire</w:t>
            </w:r>
            <w:r w:rsidRPr="00474A2B">
              <w:rPr>
                <w:rFonts w:ascii="Times New Roman" w:eastAsia="Times New Roman" w:hAnsi="Times New Roman" w:cs="Times New Roman"/>
                <w:color w:val="000000"/>
                <w:sz w:val="24"/>
                <w:szCs w:val="24"/>
                <w:lang w:eastAsia="fr-FR"/>
              </w:rPr>
              <w:br/>
              <w:t>n = 512</w:t>
            </w:r>
            <w:r w:rsidRPr="00474A2B">
              <w:rPr>
                <w:rFonts w:ascii="Times New Roman" w:eastAsia="Times New Roman" w:hAnsi="Times New Roman" w:cs="Times New Roman"/>
                <w:color w:val="000000"/>
                <w:sz w:val="24"/>
                <w:szCs w:val="24"/>
                <w:lang w:eastAsia="fr-FR"/>
              </w:rPr>
              <w:br/>
              <w:t xml:space="preserve">(1-5 %)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Infections et infestations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Pharyngite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Infection, candidose orale, zona, infection du tractus urinaire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Pharyngite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hématologiques et du système lymphatique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Leucopénie, anémie, neutropénie, </w:t>
            </w:r>
            <w:proofErr w:type="spellStart"/>
            <w:r w:rsidRPr="00474A2B">
              <w:rPr>
                <w:rFonts w:ascii="Times New Roman" w:eastAsia="Times New Roman" w:hAnsi="Times New Roman" w:cs="Times New Roman"/>
                <w:color w:val="000000"/>
                <w:sz w:val="24"/>
                <w:szCs w:val="24"/>
                <w:lang w:eastAsia="fr-FR"/>
              </w:rPr>
              <w:t>thrombocytopénie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Neutropénie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Leucopénie, anémie, </w:t>
            </w:r>
            <w:proofErr w:type="spellStart"/>
            <w:r w:rsidRPr="00474A2B">
              <w:rPr>
                <w:rFonts w:ascii="Times New Roman" w:eastAsia="Times New Roman" w:hAnsi="Times New Roman" w:cs="Times New Roman"/>
                <w:color w:val="000000"/>
                <w:sz w:val="24"/>
                <w:szCs w:val="24"/>
                <w:lang w:eastAsia="fr-FR"/>
              </w:rPr>
              <w:t>thrombocytopénie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Anémie hypochrome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du système immunitaire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Réaction allergique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Troubles du métabolisme et de la nutrition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Anorexie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Déshydratation, cachexie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Anorexie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psychiatriques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Anxiété, dépression, insomnie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du système nerveux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Paresthésie, somnolence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Céphalée, étourdissement, neuropathie, hypertonie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Paresthésie, somnolence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oculaires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Conjonctivite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cardiaques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Trouble cardiovasculaire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lastRenderedPageBreak/>
              <w:t>Affections vasculaires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Vasodilatation</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474A2B">
              <w:rPr>
                <w:rFonts w:ascii="Times New Roman" w:eastAsia="Times New Roman" w:hAnsi="Times New Roman" w:cs="Times New Roman"/>
                <w:i/>
                <w:iCs/>
                <w:color w:val="000000"/>
                <w:sz w:val="24"/>
                <w:szCs w:val="24"/>
                <w:lang w:eastAsia="fr-FR"/>
              </w:rPr>
              <w:t>médiastinales</w:t>
            </w:r>
            <w:proofErr w:type="spellEnd"/>
            <w:r w:rsidRPr="00474A2B">
              <w:rPr>
                <w:rFonts w:ascii="Times New Roman" w:eastAsia="Times New Roman" w:hAnsi="Times New Roman" w:cs="Times New Roman"/>
                <w:i/>
                <w:iCs/>
                <w:color w:val="000000"/>
                <w:sz w:val="24"/>
                <w:szCs w:val="24"/>
                <w:lang w:eastAsia="fr-FR"/>
              </w:rPr>
              <w:t>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Dyspnée, augmentation de la toux</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gastro-intestinales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Constipation, diarrhée, nausées, stomatite, vomissement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abdominale, dyspepsie, ulcération buccale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Nausées, stomatite, vomissement, douleur abdominale, diarrhée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Ulcération buccale, </w:t>
            </w:r>
            <w:proofErr w:type="spellStart"/>
            <w:r w:rsidRPr="00474A2B">
              <w:rPr>
                <w:rFonts w:ascii="Times New Roman" w:eastAsia="Times New Roman" w:hAnsi="Times New Roman" w:cs="Times New Roman"/>
                <w:color w:val="000000"/>
                <w:sz w:val="24"/>
                <w:szCs w:val="24"/>
                <w:lang w:eastAsia="fr-FR"/>
              </w:rPr>
              <w:t>oesophagite</w:t>
            </w:r>
            <w:proofErr w:type="spellEnd"/>
            <w:r w:rsidRPr="00474A2B">
              <w:rPr>
                <w:rFonts w:ascii="Times New Roman" w:eastAsia="Times New Roman" w:hAnsi="Times New Roman" w:cs="Times New Roman"/>
                <w:color w:val="000000"/>
                <w:sz w:val="24"/>
                <w:szCs w:val="24"/>
                <w:lang w:eastAsia="fr-FR"/>
              </w:rPr>
              <w:t>, nausées et vomissement, gastrite, dysphagie, bouche sèche, flatulence, gingivite, perversion du goût</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Constipation, dyspepsie, ulcération buccale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de la peau et du tissu sous-cutané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EPP</w:t>
            </w: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alopécie, rash</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EPP</w:t>
            </w:r>
            <w:r w:rsidRPr="00474A2B">
              <w:rPr>
                <w:rFonts w:ascii="Times New Roman" w:eastAsia="Times New Roman" w:hAnsi="Times New Roman" w:cs="Times New Roman"/>
                <w:color w:val="000000"/>
                <w:sz w:val="24"/>
                <w:szCs w:val="24"/>
                <w:vertAlign w:val="superscript"/>
                <w:lang w:eastAsia="fr-FR"/>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Peau sèche, décoloration de la peau</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Alopécie, rash</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Rash </w:t>
            </w:r>
            <w:proofErr w:type="spellStart"/>
            <w:r w:rsidRPr="00474A2B">
              <w:rPr>
                <w:rFonts w:ascii="Times New Roman" w:eastAsia="Times New Roman" w:hAnsi="Times New Roman" w:cs="Times New Roman"/>
                <w:color w:val="000000"/>
                <w:sz w:val="24"/>
                <w:szCs w:val="24"/>
                <w:lang w:eastAsia="fr-FR"/>
              </w:rPr>
              <w:t>vésiculobulleux</w:t>
            </w:r>
            <w:proofErr w:type="spellEnd"/>
            <w:r w:rsidRPr="00474A2B">
              <w:rPr>
                <w:rFonts w:ascii="Times New Roman" w:eastAsia="Times New Roman" w:hAnsi="Times New Roman" w:cs="Times New Roman"/>
                <w:color w:val="000000"/>
                <w:sz w:val="24"/>
                <w:szCs w:val="24"/>
                <w:lang w:eastAsia="fr-FR"/>
              </w:rPr>
              <w:t xml:space="preserve">, prurit, dermatite exfoliative, trouble cutané, rash </w:t>
            </w:r>
            <w:proofErr w:type="spellStart"/>
            <w:r w:rsidRPr="00474A2B">
              <w:rPr>
                <w:rFonts w:ascii="Times New Roman" w:eastAsia="Times New Roman" w:hAnsi="Times New Roman" w:cs="Times New Roman"/>
                <w:color w:val="000000"/>
                <w:sz w:val="24"/>
                <w:szCs w:val="24"/>
                <w:lang w:eastAsia="fr-FR"/>
              </w:rPr>
              <w:t>maculopapuleux</w:t>
            </w:r>
            <w:proofErr w:type="spellEnd"/>
            <w:r w:rsidRPr="00474A2B">
              <w:rPr>
                <w:rFonts w:ascii="Times New Roman" w:eastAsia="Times New Roman" w:hAnsi="Times New Roman" w:cs="Times New Roman"/>
                <w:color w:val="000000"/>
                <w:sz w:val="24"/>
                <w:szCs w:val="24"/>
                <w:lang w:eastAsia="fr-FR"/>
              </w:rPr>
              <w:t>, sueurs, acné, ulcération cutanée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Affections </w:t>
            </w:r>
            <w:proofErr w:type="spellStart"/>
            <w:r w:rsidRPr="00474A2B">
              <w:rPr>
                <w:rFonts w:ascii="Times New Roman" w:eastAsia="Times New Roman" w:hAnsi="Times New Roman" w:cs="Times New Roman"/>
                <w:i/>
                <w:iCs/>
                <w:color w:val="000000"/>
                <w:sz w:val="24"/>
                <w:szCs w:val="24"/>
                <w:lang w:eastAsia="fr-FR"/>
              </w:rPr>
              <w:t>musculosquelettiques</w:t>
            </w:r>
            <w:proofErr w:type="spellEnd"/>
            <w:r w:rsidRPr="00474A2B">
              <w:rPr>
                <w:rFonts w:ascii="Times New Roman" w:eastAsia="Times New Roman" w:hAnsi="Times New Roman" w:cs="Times New Roman"/>
                <w:i/>
                <w:iCs/>
                <w:color w:val="000000"/>
                <w:sz w:val="24"/>
                <w:szCs w:val="24"/>
                <w:lang w:eastAsia="fr-FR"/>
              </w:rPr>
              <w:t xml:space="preserve"> et systémiques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dorsale, myalgie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du rein et des voies urinaires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Dysurie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des organes de reproduction et du sein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Vaginite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Troubles généraux et anomalies au site d'administration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Asthénie, lésion des muqueuses</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Fièvre, douleur</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Asthénie, lésion des muqueuses, douleur</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Frissons, douleur thoracique, malaise, </w:t>
            </w:r>
            <w:proofErr w:type="spellStart"/>
            <w:r w:rsidRPr="00474A2B">
              <w:rPr>
                <w:rFonts w:ascii="Times New Roman" w:eastAsia="Times New Roman" w:hAnsi="Times New Roman" w:cs="Times New Roman"/>
                <w:color w:val="000000"/>
                <w:sz w:val="24"/>
                <w:szCs w:val="24"/>
                <w:lang w:eastAsia="fr-FR"/>
              </w:rPr>
              <w:t>oedème</w:t>
            </w:r>
            <w:proofErr w:type="spellEnd"/>
            <w:r w:rsidRPr="00474A2B">
              <w:rPr>
                <w:rFonts w:ascii="Times New Roman" w:eastAsia="Times New Roman" w:hAnsi="Times New Roman" w:cs="Times New Roman"/>
                <w:color w:val="000000"/>
                <w:sz w:val="24"/>
                <w:szCs w:val="24"/>
                <w:lang w:eastAsia="fr-FR"/>
              </w:rPr>
              <w:t xml:space="preserve"> périphérique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Fièvre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Investigations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Perte de poids</w:t>
            </w:r>
          </w:p>
        </w:tc>
      </w:tr>
    </w:tbl>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0"/>
          <w:szCs w:val="20"/>
          <w:lang w:eastAsia="fr-FR"/>
        </w:rPr>
        <w:t>Érythrodysesthésie</w:t>
      </w:r>
      <w:proofErr w:type="spellEnd"/>
      <w:r w:rsidRPr="00474A2B">
        <w:rPr>
          <w:rFonts w:ascii="Times New Roman" w:eastAsia="Times New Roman" w:hAnsi="Times New Roman" w:cs="Times New Roman"/>
          <w:color w:val="000000"/>
          <w:sz w:val="20"/>
          <w:szCs w:val="20"/>
          <w:lang w:eastAsia="fr-FR"/>
        </w:rPr>
        <w:t xml:space="preserve"> </w:t>
      </w:r>
      <w:proofErr w:type="spellStart"/>
      <w:r w:rsidRPr="00474A2B">
        <w:rPr>
          <w:rFonts w:ascii="Times New Roman" w:eastAsia="Times New Roman" w:hAnsi="Times New Roman" w:cs="Times New Roman"/>
          <w:color w:val="000000"/>
          <w:sz w:val="20"/>
          <w:szCs w:val="20"/>
          <w:lang w:eastAsia="fr-FR"/>
        </w:rPr>
        <w:t>palmoplantaire</w:t>
      </w:r>
      <w:proofErr w:type="spellEnd"/>
      <w:r w:rsidRPr="00474A2B">
        <w:rPr>
          <w:rFonts w:ascii="Times New Roman" w:eastAsia="Times New Roman" w:hAnsi="Times New Roman" w:cs="Times New Roman"/>
          <w:color w:val="000000"/>
          <w:sz w:val="20"/>
          <w:szCs w:val="20"/>
          <w:lang w:eastAsia="fr-FR"/>
        </w:rPr>
        <w:t xml:space="preserve"> (syndrome mains-pieds).</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La </w:t>
      </w:r>
      <w:proofErr w:type="spellStart"/>
      <w:r w:rsidRPr="00474A2B">
        <w:rPr>
          <w:rFonts w:ascii="Times New Roman" w:eastAsia="Times New Roman" w:hAnsi="Times New Roman" w:cs="Times New Roman"/>
          <w:color w:val="000000"/>
          <w:sz w:val="24"/>
          <w:szCs w:val="24"/>
          <w:lang w:eastAsia="fr-FR"/>
        </w:rPr>
        <w:t>myélosuppression</w:t>
      </w:r>
      <w:proofErr w:type="spellEnd"/>
      <w:r w:rsidRPr="00474A2B">
        <w:rPr>
          <w:rFonts w:ascii="Times New Roman" w:eastAsia="Times New Roman" w:hAnsi="Times New Roman" w:cs="Times New Roman"/>
          <w:color w:val="000000"/>
          <w:sz w:val="24"/>
          <w:szCs w:val="24"/>
          <w:lang w:eastAsia="fr-FR"/>
        </w:rPr>
        <w:t xml:space="preserve"> était généralement légère ou modérée et gérable. La septicémie liée à la leucopénie a été rarement observée (&lt; 1 %). Le recours à un facteur de croissance a été rarement nécessaire (&lt; 5 %) et le recours à la transfusion a été nécessaire chez approximativement 15 % des patients (</w:t>
      </w:r>
      <w:proofErr w:type="spellStart"/>
      <w:r w:rsidRPr="00474A2B">
        <w:rPr>
          <w:rFonts w:ascii="Times New Roman" w:eastAsia="Times New Roman" w:hAnsi="Times New Roman" w:cs="Times New Roman"/>
          <w:color w:val="000000"/>
          <w:sz w:val="24"/>
          <w:szCs w:val="24"/>
          <w:lang w:eastAsia="fr-FR"/>
        </w:rPr>
        <w:t>cf</w:t>
      </w:r>
      <w:proofErr w:type="spellEnd"/>
      <w:r w:rsidRPr="00474A2B">
        <w:rPr>
          <w:rFonts w:ascii="Times New Roman" w:eastAsia="Times New Roman" w:hAnsi="Times New Roman" w:cs="Times New Roman"/>
          <w:color w:val="000000"/>
          <w:sz w:val="24"/>
          <w:szCs w:val="24"/>
          <w:lang w:eastAsia="fr-FR"/>
        </w:rPr>
        <w:t xml:space="preserve"> Posologie et Mode d'administration).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Dans un sous-groupe de 410 patientes avec cancer de l'ovaire, les anomalies de laboratoire cliniquement significatives pendant les études cliniques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comprenaient des augmentations de la bilirubine totale (habituellement chez les patientes avec des métastases hépatiques) (5 %) et des taux de créatinine sérique (5 %). Les augmentations des ASAT étaient rapportées moins fréquemment (&lt; 1 %).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Patients ayant une tumeur solide : dans une large cohorte de 929 patients ayant des tumeurs solides (comprenant le cancer du sein et le cancer de l'ovaire) majoritairement traités à la dose de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4 semaines, le profil de tolérance et l'incidence des effets indésirables sont comparables à ceux des patients traités dans les études pivots dans le cancer du sein et le cancer de l'ovaire. </w:t>
      </w:r>
    </w:p>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Myélome multiple :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Dans un essai clinique de phase III, sur 646 patients atteints de myélome multiple qui ont reçu au moins un traitement antérieur, 318 patients ont été traités par l'association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30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en perfusion intraveineuse d'une heure administrée le 4</w:t>
      </w:r>
      <w:r w:rsidRPr="00474A2B">
        <w:rPr>
          <w:rFonts w:ascii="Verdana" w:eastAsia="Times New Roman" w:hAnsi="Verdana" w:cs="Times New Roman"/>
          <w:color w:val="000000"/>
          <w:sz w:val="20"/>
          <w:szCs w:val="20"/>
          <w:vertAlign w:val="superscript"/>
          <w:lang w:eastAsia="fr-FR"/>
        </w:rPr>
        <w:t>e</w:t>
      </w:r>
      <w:r w:rsidRPr="00474A2B">
        <w:rPr>
          <w:rFonts w:ascii="Times New Roman" w:eastAsia="Times New Roman" w:hAnsi="Times New Roman" w:cs="Times New Roman"/>
          <w:color w:val="000000"/>
          <w:sz w:val="24"/>
          <w:szCs w:val="24"/>
          <w:lang w:eastAsia="fr-FR"/>
        </w:rPr>
        <w:t xml:space="preserve"> jour après le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qui est administré à 1,3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à J1, J4, J8 et J11, toutes les trois semaines, ou par le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en monothérapie. Voir le tableau 7 pour les événements indésirables rapportés chez &gt;= 5 % des patients traités par l'association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Neutropénie,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 xml:space="preserve"> et anémie étaient les événements hématologiques le plus fréquemment rapportés avec l'association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et avec le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en monothérapie. L'incidence de la neutropénie de grades 3 et 4 était plus élevée dans le groupe recevant l'association thérapeutique que dans le groupe recevant la monothérapie (28 % vs 14 %). L'incidence de la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 xml:space="preserve"> de grades 3 et 4 était plus élevée dans le groupe recevant l'association thérapeutique que dans le groupe recevant la monothérapie (22 % vs 14 %). L'incidence de l'anémie était similaire dans les deux groupes (7 % vs 5 %).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La stomatite a été rapportée plus fréquemment dans le groupe recevant l'association thérapeutique (16 %) que dans le groupe recevant la monothérapie (3 %), et la plupart des cas avaient une sévérité de </w:t>
      </w:r>
      <w:proofErr w:type="gramStart"/>
      <w:r w:rsidRPr="00474A2B">
        <w:rPr>
          <w:rFonts w:ascii="Times New Roman" w:eastAsia="Times New Roman" w:hAnsi="Times New Roman" w:cs="Times New Roman"/>
          <w:color w:val="000000"/>
          <w:sz w:val="24"/>
          <w:szCs w:val="24"/>
          <w:lang w:eastAsia="fr-FR"/>
        </w:rPr>
        <w:t>grade 2 ou moindre</w:t>
      </w:r>
      <w:proofErr w:type="gramEnd"/>
      <w:r w:rsidRPr="00474A2B">
        <w:rPr>
          <w:rFonts w:ascii="Times New Roman" w:eastAsia="Times New Roman" w:hAnsi="Times New Roman" w:cs="Times New Roman"/>
          <w:color w:val="000000"/>
          <w:sz w:val="24"/>
          <w:szCs w:val="24"/>
          <w:lang w:eastAsia="fr-FR"/>
        </w:rPr>
        <w:t xml:space="preserve">. Une stomatite de grade 3 a été rapportée chez 2 % des patients dans le groupe recevant l'association thérapeutique. Aucune stomatite de grade 4 n'a été rapportée.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Des nausées et des vomissements ont été rapportés plus fréquemment dans le groupe recevant l'association thérapeutique (40 % et 28 %) que dans le groupe recevant la monothérapie (32 % et 15 %) et avaient principalement une sévérité de grades 1 et 2.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L'arrêt de l'administration d'un ou des deux agents, pour cause d'événements indésirables, a concerné 38 % des patients. Les événements indésirables fréquents ayant conduit à l'arrêt de l'administration du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et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comprenaient : EPP, névralgie, neuropathie périphérique, neuropathie sensitive périphérique,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 xml:space="preserve">, baisse de la fraction d'éjection et fatigue.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69"/>
        <w:gridCol w:w="2238"/>
        <w:gridCol w:w="2131"/>
        <w:gridCol w:w="2964"/>
      </w:tblGrid>
      <w:tr w:rsidR="00EE14EF" w:rsidRPr="00474A2B" w:rsidTr="00C64F25">
        <w:trPr>
          <w:tblCellSpacing w:w="7" w:type="dxa"/>
        </w:trPr>
        <w:tc>
          <w:tcPr>
            <w:tcW w:w="0" w:type="auto"/>
            <w:gridSpan w:val="4"/>
            <w:tcBorders>
              <w:top w:val="nil"/>
              <w:left w:val="nil"/>
              <w:bottom w:val="nil"/>
              <w:right w:val="nil"/>
            </w:tcBorders>
            <w:vAlign w:val="center"/>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Tableau 7 :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Effets indésirables liés au traitement rapportés lors des essais cliniques dans le myélome multiple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30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en association avec le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toutes les </w:t>
            </w:r>
            <w:r w:rsidRPr="00474A2B">
              <w:rPr>
                <w:rFonts w:ascii="Times New Roman" w:eastAsia="Times New Roman" w:hAnsi="Times New Roman" w:cs="Times New Roman"/>
                <w:color w:val="000000"/>
                <w:sz w:val="24"/>
                <w:szCs w:val="24"/>
                <w:lang w:eastAsia="fr-FR"/>
              </w:rPr>
              <w:lastRenderedPageBreak/>
              <w:t xml:space="preserve">3 semaines) par sévérité, classe des systèmes d'organes et termes préférentiels </w:t>
            </w:r>
            <w:proofErr w:type="spellStart"/>
            <w:r w:rsidRPr="00474A2B">
              <w:rPr>
                <w:rFonts w:ascii="Times New Roman" w:eastAsia="Times New Roman" w:hAnsi="Times New Roman" w:cs="Times New Roman"/>
                <w:color w:val="000000"/>
                <w:sz w:val="24"/>
                <w:szCs w:val="24"/>
                <w:lang w:eastAsia="fr-FR"/>
              </w:rPr>
              <w:t>MedDRA</w:t>
            </w:r>
            <w:proofErr w:type="spellEnd"/>
            <w:r w:rsidRPr="00474A2B">
              <w:rPr>
                <w:rFonts w:ascii="Times New Roman" w:eastAsia="Times New Roman" w:hAnsi="Times New Roman" w:cs="Times New Roman"/>
                <w:color w:val="000000"/>
                <w:sz w:val="24"/>
                <w:szCs w:val="24"/>
                <w:lang w:eastAsia="fr-FR"/>
              </w:rPr>
              <w:t>.</w:t>
            </w:r>
            <w:r w:rsidRPr="00474A2B">
              <w:rPr>
                <w:rFonts w:ascii="Times New Roman" w:eastAsia="Times New Roman" w:hAnsi="Times New Roman" w:cs="Times New Roman"/>
                <w:color w:val="000000"/>
                <w:sz w:val="24"/>
                <w:szCs w:val="24"/>
                <w:lang w:eastAsia="fr-FR"/>
              </w:rPr>
              <w:br/>
              <w:t xml:space="preserve">Très fréquent (&gt;= 1/10), fréquent (&gt;= 1/100, &lt; 1/10), peu fréquent (&gt;= 1/1000, &lt; 1/100) : CIOMS III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Effet indésirable par localisation corporelle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Toutes sévérités</w:t>
            </w:r>
            <w:r w:rsidRPr="00474A2B">
              <w:rPr>
                <w:rFonts w:ascii="Times New Roman" w:eastAsia="Times New Roman" w:hAnsi="Times New Roman" w:cs="Times New Roman"/>
                <w:color w:val="000000"/>
                <w:sz w:val="24"/>
                <w:szCs w:val="24"/>
                <w:lang w:eastAsia="fr-FR"/>
              </w:rPr>
              <w:br/>
              <w:t>n = 318</w:t>
            </w:r>
            <w:r w:rsidRPr="00474A2B">
              <w:rPr>
                <w:rFonts w:ascii="Times New Roman" w:eastAsia="Times New Roman" w:hAnsi="Times New Roman" w:cs="Times New Roman"/>
                <w:color w:val="000000"/>
                <w:sz w:val="24"/>
                <w:szCs w:val="24"/>
                <w:lang w:eastAsia="fr-FR"/>
              </w:rPr>
              <w:br/>
              <w:t xml:space="preserve">(&gt;= 5 %)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Grades 3/4</w:t>
            </w: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br/>
              <w:t>n = 318</w:t>
            </w:r>
            <w:r w:rsidRPr="00474A2B">
              <w:rPr>
                <w:rFonts w:ascii="Times New Roman" w:eastAsia="Times New Roman" w:hAnsi="Times New Roman" w:cs="Times New Roman"/>
                <w:color w:val="000000"/>
                <w:sz w:val="24"/>
                <w:szCs w:val="24"/>
                <w:lang w:eastAsia="fr-FR"/>
              </w:rPr>
              <w:br/>
              <w:t xml:space="preserve">(&gt;= 5 %)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Toutes sévérités</w:t>
            </w:r>
            <w:r w:rsidRPr="00474A2B">
              <w:rPr>
                <w:rFonts w:ascii="Times New Roman" w:eastAsia="Times New Roman" w:hAnsi="Times New Roman" w:cs="Times New Roman"/>
                <w:color w:val="000000"/>
                <w:sz w:val="24"/>
                <w:szCs w:val="24"/>
                <w:lang w:eastAsia="fr-FR"/>
              </w:rPr>
              <w:br/>
              <w:t>n = 318</w:t>
            </w:r>
            <w:r w:rsidRPr="00474A2B">
              <w:rPr>
                <w:rFonts w:ascii="Times New Roman" w:eastAsia="Times New Roman" w:hAnsi="Times New Roman" w:cs="Times New Roman"/>
                <w:color w:val="000000"/>
                <w:sz w:val="24"/>
                <w:szCs w:val="24"/>
                <w:lang w:eastAsia="fr-FR"/>
              </w:rPr>
              <w:br/>
              <w:t xml:space="preserve">(1-5 %)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Infections et infestations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Herpes simplex, zona</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Zona</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Pneumonie, rhinopharyngite, infection du tractus respiratoire supérieur, candidose orale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hématologiques et du système lymphatique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Anémie, neutropénie, </w:t>
            </w:r>
            <w:proofErr w:type="spellStart"/>
            <w:r w:rsidRPr="00474A2B">
              <w:rPr>
                <w:rFonts w:ascii="Times New Roman" w:eastAsia="Times New Roman" w:hAnsi="Times New Roman" w:cs="Times New Roman"/>
                <w:color w:val="000000"/>
                <w:sz w:val="24"/>
                <w:szCs w:val="24"/>
                <w:lang w:eastAsia="fr-FR"/>
              </w:rPr>
              <w:t>thrombocytopénie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Neutropénie, </w:t>
            </w:r>
            <w:proofErr w:type="spellStart"/>
            <w:r w:rsidRPr="00474A2B">
              <w:rPr>
                <w:rFonts w:ascii="Times New Roman" w:eastAsia="Times New Roman" w:hAnsi="Times New Roman" w:cs="Times New Roman"/>
                <w:color w:val="000000"/>
                <w:sz w:val="24"/>
                <w:szCs w:val="24"/>
                <w:lang w:eastAsia="fr-FR"/>
              </w:rPr>
              <w:t>thrombocytopénie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Leucopénie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Anémie, leucopénie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Neutropénie fébrile, lymphopénie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Troubles du métabolisme et de la nutrition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Anorexie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Diminution de l'appétit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Anorexie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Déshydratation, hypokaliémie, hyperkaliémie, </w:t>
            </w:r>
            <w:proofErr w:type="spellStart"/>
            <w:r w:rsidRPr="00474A2B">
              <w:rPr>
                <w:rFonts w:ascii="Times New Roman" w:eastAsia="Times New Roman" w:hAnsi="Times New Roman" w:cs="Times New Roman"/>
                <w:color w:val="000000"/>
                <w:sz w:val="24"/>
                <w:szCs w:val="24"/>
                <w:lang w:eastAsia="fr-FR"/>
              </w:rPr>
              <w:t>hypomagnésémie</w:t>
            </w:r>
            <w:proofErr w:type="spellEnd"/>
            <w:r w:rsidRPr="00474A2B">
              <w:rPr>
                <w:rFonts w:ascii="Times New Roman" w:eastAsia="Times New Roman" w:hAnsi="Times New Roman" w:cs="Times New Roman"/>
                <w:color w:val="000000"/>
                <w:sz w:val="24"/>
                <w:szCs w:val="24"/>
                <w:lang w:eastAsia="fr-FR"/>
              </w:rPr>
              <w:t>, hyponatrémie, hypocalcémie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Diminution de l'appétit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psychiatriques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Insomnie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Anxiété</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du système nerveux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Neuropathie périphérique sensitive, névralgie, céphalées</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Neuropathie périphérique, neuropathie, paresthésie, </w:t>
            </w:r>
            <w:proofErr w:type="spellStart"/>
            <w:r w:rsidRPr="00474A2B">
              <w:rPr>
                <w:rFonts w:ascii="Times New Roman" w:eastAsia="Times New Roman" w:hAnsi="Times New Roman" w:cs="Times New Roman"/>
                <w:color w:val="000000"/>
                <w:sz w:val="24"/>
                <w:szCs w:val="24"/>
                <w:lang w:eastAsia="fr-FR"/>
              </w:rPr>
              <w:t>polyneuropathie</w:t>
            </w:r>
            <w:proofErr w:type="spellEnd"/>
            <w:r w:rsidRPr="00474A2B">
              <w:rPr>
                <w:rFonts w:ascii="Times New Roman" w:eastAsia="Times New Roman" w:hAnsi="Times New Roman" w:cs="Times New Roman"/>
                <w:color w:val="000000"/>
                <w:sz w:val="24"/>
                <w:szCs w:val="24"/>
                <w:lang w:eastAsia="fr-FR"/>
              </w:rPr>
              <w:t xml:space="preserve">, étourdissements, </w:t>
            </w:r>
            <w:proofErr w:type="spellStart"/>
            <w:r w:rsidRPr="00474A2B">
              <w:rPr>
                <w:rFonts w:ascii="Times New Roman" w:eastAsia="Times New Roman" w:hAnsi="Times New Roman" w:cs="Times New Roman"/>
                <w:color w:val="000000"/>
                <w:sz w:val="24"/>
                <w:szCs w:val="24"/>
                <w:lang w:eastAsia="fr-FR"/>
              </w:rPr>
              <w:t>dysgueusie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Névralgie, neuropathie périphérique, neuropathie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Léthargie, hypoesthésie, syncope, dysesthésie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Peu </w:t>
            </w:r>
            <w:r w:rsidRPr="00474A2B">
              <w:rPr>
                <w:rFonts w:ascii="Times New Roman" w:eastAsia="Times New Roman" w:hAnsi="Times New Roman" w:cs="Times New Roman"/>
                <w:color w:val="000000"/>
                <w:sz w:val="24"/>
                <w:szCs w:val="24"/>
                <w:lang w:eastAsia="fr-FR"/>
              </w:rPr>
              <w:lastRenderedPageBreak/>
              <w:t>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Céphalées, </w:t>
            </w:r>
            <w:r w:rsidRPr="00474A2B">
              <w:rPr>
                <w:rFonts w:ascii="Times New Roman" w:eastAsia="Times New Roman" w:hAnsi="Times New Roman" w:cs="Times New Roman"/>
                <w:color w:val="000000"/>
                <w:sz w:val="24"/>
                <w:szCs w:val="24"/>
                <w:lang w:eastAsia="fr-FR"/>
              </w:rPr>
              <w:lastRenderedPageBreak/>
              <w:t>neuropathie périphérique sensitive, paresthésie, étourdissements</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lastRenderedPageBreak/>
              <w:t>Affections oculaires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Conjonctivite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vasculaires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Hypotension, hypotension orthostatique, bouffées vasomotrices, hypertension, phlébite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respiratoires, thoraciques et </w:t>
            </w:r>
            <w:proofErr w:type="spellStart"/>
            <w:r w:rsidRPr="00474A2B">
              <w:rPr>
                <w:rFonts w:ascii="Times New Roman" w:eastAsia="Times New Roman" w:hAnsi="Times New Roman" w:cs="Times New Roman"/>
                <w:i/>
                <w:iCs/>
                <w:color w:val="000000"/>
                <w:sz w:val="24"/>
                <w:szCs w:val="24"/>
                <w:lang w:eastAsia="fr-FR"/>
              </w:rPr>
              <w:t>médiastinales</w:t>
            </w:r>
            <w:proofErr w:type="spellEnd"/>
            <w:r w:rsidRPr="00474A2B">
              <w:rPr>
                <w:rFonts w:ascii="Times New Roman" w:eastAsia="Times New Roman" w:hAnsi="Times New Roman" w:cs="Times New Roman"/>
                <w:i/>
                <w:iCs/>
                <w:color w:val="000000"/>
                <w:sz w:val="24"/>
                <w:szCs w:val="24"/>
                <w:lang w:eastAsia="fr-FR"/>
              </w:rPr>
              <w:t>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Dyspnée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Toux, épistaxis, dyspnée d'effort</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Dyspnée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gastro-intestinales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Nausées, diarrhée, vomissement, constipation, stomatite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abdominale, dyspepsie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Nausées, diarrhée, vomissement, stomatite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abdominale haute, ulcération buccale, bouche sèche, dysphagie, stomatite aphteuse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Constipation, douleur abdominale, dyspepsie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Affections de la peau et du tissu sous-cutané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EPP</w:t>
            </w: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rash</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Peau sèche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EPP</w:t>
            </w:r>
            <w:r w:rsidRPr="00474A2B">
              <w:rPr>
                <w:rFonts w:ascii="Times New Roman" w:eastAsia="Times New Roman" w:hAnsi="Times New Roman" w:cs="Times New Roman"/>
                <w:color w:val="000000"/>
                <w:sz w:val="24"/>
                <w:szCs w:val="24"/>
                <w:vertAlign w:val="superscript"/>
                <w:lang w:eastAsia="fr-FR"/>
              </w:rPr>
              <w: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Prurit, éruption papuleuse, dermatite allergique, érythème, hyperpigmentation cutanée, pétéchies, alopécie, éruption médicamenteuse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Rash</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Affections </w:t>
            </w:r>
            <w:proofErr w:type="spellStart"/>
            <w:r w:rsidRPr="00474A2B">
              <w:rPr>
                <w:rFonts w:ascii="Times New Roman" w:eastAsia="Times New Roman" w:hAnsi="Times New Roman" w:cs="Times New Roman"/>
                <w:i/>
                <w:iCs/>
                <w:color w:val="000000"/>
                <w:sz w:val="24"/>
                <w:szCs w:val="24"/>
                <w:lang w:eastAsia="fr-FR"/>
              </w:rPr>
              <w:t>musculosquelettiques</w:t>
            </w:r>
            <w:proofErr w:type="spellEnd"/>
            <w:r w:rsidRPr="00474A2B">
              <w:rPr>
                <w:rFonts w:ascii="Times New Roman" w:eastAsia="Times New Roman" w:hAnsi="Times New Roman" w:cs="Times New Roman"/>
                <w:i/>
                <w:iCs/>
                <w:color w:val="000000"/>
                <w:sz w:val="24"/>
                <w:szCs w:val="24"/>
                <w:lang w:eastAsia="fr-FR"/>
              </w:rPr>
              <w:t xml:space="preserve"> et du tissu conjonctif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Douleur aux extrémités</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Arthralgies, myalgies, spasmes musculaires, faiblesse musculaire, douleur </w:t>
            </w:r>
            <w:proofErr w:type="spellStart"/>
            <w:r w:rsidRPr="00474A2B">
              <w:rPr>
                <w:rFonts w:ascii="Times New Roman" w:eastAsia="Times New Roman" w:hAnsi="Times New Roman" w:cs="Times New Roman"/>
                <w:color w:val="000000"/>
                <w:sz w:val="24"/>
                <w:szCs w:val="24"/>
                <w:lang w:eastAsia="fr-FR"/>
              </w:rPr>
              <w:lastRenderedPageBreak/>
              <w:t>musculosquelettique</w:t>
            </w:r>
            <w:proofErr w:type="spellEnd"/>
            <w:r w:rsidRPr="00474A2B">
              <w:rPr>
                <w:rFonts w:ascii="Times New Roman" w:eastAsia="Times New Roman" w:hAnsi="Times New Roman" w:cs="Times New Roman"/>
                <w:color w:val="000000"/>
                <w:sz w:val="24"/>
                <w:szCs w:val="24"/>
                <w:lang w:eastAsia="fr-FR"/>
              </w:rPr>
              <w:t xml:space="preserve">, douleur </w:t>
            </w:r>
            <w:proofErr w:type="spellStart"/>
            <w:r w:rsidRPr="00474A2B">
              <w:rPr>
                <w:rFonts w:ascii="Times New Roman" w:eastAsia="Times New Roman" w:hAnsi="Times New Roman" w:cs="Times New Roman"/>
                <w:color w:val="000000"/>
                <w:sz w:val="24"/>
                <w:szCs w:val="24"/>
                <w:lang w:eastAsia="fr-FR"/>
              </w:rPr>
              <w:t>musculosquelettique</w:t>
            </w:r>
            <w:proofErr w:type="spellEnd"/>
            <w:r w:rsidRPr="00474A2B">
              <w:rPr>
                <w:rFonts w:ascii="Times New Roman" w:eastAsia="Times New Roman" w:hAnsi="Times New Roman" w:cs="Times New Roman"/>
                <w:color w:val="000000"/>
                <w:sz w:val="24"/>
                <w:szCs w:val="24"/>
                <w:lang w:eastAsia="fr-FR"/>
              </w:rPr>
              <w:t xml:space="preserve"> thoracique</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lastRenderedPageBreak/>
              <w:t>Affections des organes de reproduction et du sein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Érythème du scrotum</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Troubles généraux et anomalies au site d'administration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Très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Asthénie, fatigue, fièvre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Asthénie, fatigue</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w:t>
            </w:r>
            <w:proofErr w:type="spellStart"/>
            <w:r w:rsidRPr="00474A2B">
              <w:rPr>
                <w:rFonts w:ascii="Times New Roman" w:eastAsia="Times New Roman" w:hAnsi="Times New Roman" w:cs="Times New Roman"/>
                <w:color w:val="000000"/>
                <w:sz w:val="24"/>
                <w:szCs w:val="24"/>
                <w:lang w:eastAsia="fr-FR"/>
              </w:rPr>
              <w:t>OEdème</w:t>
            </w:r>
            <w:proofErr w:type="spellEnd"/>
            <w:r w:rsidRPr="00474A2B">
              <w:rPr>
                <w:rFonts w:ascii="Times New Roman" w:eastAsia="Times New Roman" w:hAnsi="Times New Roman" w:cs="Times New Roman"/>
                <w:color w:val="000000"/>
                <w:sz w:val="24"/>
                <w:szCs w:val="24"/>
                <w:lang w:eastAsia="fr-FR"/>
              </w:rPr>
              <w:t xml:space="preserve"> périphérique, frissons, syndrome </w:t>
            </w:r>
            <w:proofErr w:type="spellStart"/>
            <w:r w:rsidRPr="00474A2B">
              <w:rPr>
                <w:rFonts w:ascii="Times New Roman" w:eastAsia="Times New Roman" w:hAnsi="Times New Roman" w:cs="Times New Roman"/>
                <w:color w:val="000000"/>
                <w:sz w:val="24"/>
                <w:szCs w:val="24"/>
                <w:lang w:eastAsia="fr-FR"/>
              </w:rPr>
              <w:t>pseudogrippal</w:t>
            </w:r>
            <w:proofErr w:type="spellEnd"/>
            <w:r w:rsidRPr="00474A2B">
              <w:rPr>
                <w:rFonts w:ascii="Times New Roman" w:eastAsia="Times New Roman" w:hAnsi="Times New Roman" w:cs="Times New Roman"/>
                <w:color w:val="000000"/>
                <w:sz w:val="24"/>
                <w:szCs w:val="24"/>
                <w:lang w:eastAsia="fr-FR"/>
              </w:rPr>
              <w:t>, malaise, hyperthermie</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Peu fréquent</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Fièvre</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Investigations :</w:t>
            </w:r>
            <w:r w:rsidRPr="00474A2B">
              <w:rPr>
                <w:rFonts w:ascii="Times New Roman" w:eastAsia="Times New Roman" w:hAnsi="Times New Roman" w:cs="Times New Roman"/>
                <w:color w:val="000000"/>
                <w:sz w:val="24"/>
                <w:szCs w:val="24"/>
                <w:lang w:eastAsia="fr-FR"/>
              </w:rPr>
              <w:t xml:space="preserve"> </w:t>
            </w:r>
          </w:p>
        </w:tc>
      </w:tr>
      <w:tr w:rsidR="00EE14EF"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Fréquent</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Perte de poids</w:t>
            </w:r>
          </w:p>
        </w:tc>
        <w:tc>
          <w:tcPr>
            <w:tcW w:w="0" w:type="auto"/>
            <w:tcBorders>
              <w:top w:val="outset" w:sz="6" w:space="0" w:color="auto"/>
              <w:left w:val="outset" w:sz="6" w:space="0" w:color="auto"/>
              <w:bottom w:val="outset" w:sz="6" w:space="0" w:color="auto"/>
              <w:right w:val="outset" w:sz="6" w:space="0" w:color="auto"/>
            </w:tcBorders>
            <w:vAlign w:val="bottom"/>
            <w:hideMark/>
          </w:tcPr>
          <w:p w:rsidR="00EE14EF" w:rsidRPr="00474A2B" w:rsidRDefault="00EE14EF"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14EF" w:rsidRPr="00474A2B" w:rsidRDefault="00EE14EF"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Augmentation des taux d'ASAT (</w:t>
            </w:r>
            <w:proofErr w:type="spellStart"/>
            <w:r w:rsidRPr="00474A2B">
              <w:rPr>
                <w:rFonts w:ascii="Times New Roman" w:eastAsia="Times New Roman" w:hAnsi="Times New Roman" w:cs="Times New Roman"/>
                <w:color w:val="000000"/>
                <w:sz w:val="24"/>
                <w:szCs w:val="24"/>
                <w:lang w:eastAsia="fr-FR"/>
              </w:rPr>
              <w:t>aspartate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aminotransférase</w:t>
            </w:r>
            <w:proofErr w:type="spellEnd"/>
            <w:r w:rsidRPr="00474A2B">
              <w:rPr>
                <w:rFonts w:ascii="Times New Roman" w:eastAsia="Times New Roman" w:hAnsi="Times New Roman" w:cs="Times New Roman"/>
                <w:color w:val="000000"/>
                <w:sz w:val="24"/>
                <w:szCs w:val="24"/>
                <w:lang w:eastAsia="fr-FR"/>
              </w:rPr>
              <w:t xml:space="preserve">), baisse de la fraction d'éjection, augmentation de la créatinine sanguine, augmentation des taux d'ALAT (alanine </w:t>
            </w:r>
            <w:proofErr w:type="spellStart"/>
            <w:r w:rsidRPr="00474A2B">
              <w:rPr>
                <w:rFonts w:ascii="Times New Roman" w:eastAsia="Times New Roman" w:hAnsi="Times New Roman" w:cs="Times New Roman"/>
                <w:color w:val="000000"/>
                <w:sz w:val="24"/>
                <w:szCs w:val="24"/>
                <w:lang w:eastAsia="fr-FR"/>
              </w:rPr>
              <w:t>aminotransférase</w:t>
            </w:r>
            <w:proofErr w:type="spellEnd"/>
            <w:r w:rsidRPr="00474A2B">
              <w:rPr>
                <w:rFonts w:ascii="Times New Roman" w:eastAsia="Times New Roman" w:hAnsi="Times New Roman" w:cs="Times New Roman"/>
                <w:color w:val="000000"/>
                <w:sz w:val="24"/>
                <w:szCs w:val="24"/>
                <w:lang w:eastAsia="fr-FR"/>
              </w:rPr>
              <w:t>)</w:t>
            </w:r>
          </w:p>
        </w:tc>
      </w:tr>
    </w:tbl>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0"/>
          <w:szCs w:val="20"/>
          <w:lang w:eastAsia="fr-FR"/>
        </w:rPr>
        <w:t>Érythrodysesthésie</w:t>
      </w:r>
      <w:proofErr w:type="spellEnd"/>
      <w:r w:rsidRPr="00474A2B">
        <w:rPr>
          <w:rFonts w:ascii="Times New Roman" w:eastAsia="Times New Roman" w:hAnsi="Times New Roman" w:cs="Times New Roman"/>
          <w:color w:val="000000"/>
          <w:sz w:val="20"/>
          <w:szCs w:val="20"/>
          <w:lang w:eastAsia="fr-FR"/>
        </w:rPr>
        <w:t xml:space="preserve"> </w:t>
      </w:r>
      <w:proofErr w:type="spellStart"/>
      <w:r w:rsidRPr="00474A2B">
        <w:rPr>
          <w:rFonts w:ascii="Times New Roman" w:eastAsia="Times New Roman" w:hAnsi="Times New Roman" w:cs="Times New Roman"/>
          <w:color w:val="000000"/>
          <w:sz w:val="20"/>
          <w:szCs w:val="20"/>
          <w:lang w:eastAsia="fr-FR"/>
        </w:rPr>
        <w:t>palmoplantaire</w:t>
      </w:r>
      <w:proofErr w:type="spellEnd"/>
      <w:r w:rsidRPr="00474A2B">
        <w:rPr>
          <w:rFonts w:ascii="Times New Roman" w:eastAsia="Times New Roman" w:hAnsi="Times New Roman" w:cs="Times New Roman"/>
          <w:color w:val="000000"/>
          <w:sz w:val="20"/>
          <w:szCs w:val="20"/>
          <w:lang w:eastAsia="fr-FR"/>
        </w:rPr>
        <w:t xml:space="preserve"> (syndrome mains-pieds).</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xml:space="preserve">  </w:t>
      </w:r>
      <w:r w:rsidRPr="00474A2B">
        <w:rPr>
          <w:rFonts w:ascii="Times New Roman" w:eastAsia="Times New Roman" w:hAnsi="Times New Roman" w:cs="Times New Roman"/>
          <w:color w:val="000000"/>
          <w:sz w:val="20"/>
          <w:szCs w:val="20"/>
          <w:lang w:eastAsia="fr-FR"/>
        </w:rPr>
        <w:t>Les événements indésirables de grades 3/4 sont basés sur les termes d'événement indésirable de toutes sévérités avec une incidence globale &gt;= 5 % (voir la liste des événements indésirables dans la première colonne).</w:t>
      </w:r>
    </w:p>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SK-sida :</w:t>
      </w:r>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Les études cliniques chez des patients avec SK-sida traités à la dose de 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montrent que l'effet indésirable le plus fréquemment observé, considéré comme lié à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est la </w:t>
      </w:r>
      <w:proofErr w:type="spellStart"/>
      <w:r w:rsidRPr="00474A2B">
        <w:rPr>
          <w:rFonts w:ascii="Times New Roman" w:eastAsia="Times New Roman" w:hAnsi="Times New Roman" w:cs="Times New Roman"/>
          <w:color w:val="000000"/>
          <w:sz w:val="24"/>
          <w:szCs w:val="24"/>
          <w:lang w:eastAsia="fr-FR"/>
        </w:rPr>
        <w:t>myélosuppression</w:t>
      </w:r>
      <w:proofErr w:type="spellEnd"/>
      <w:r w:rsidRPr="00474A2B">
        <w:rPr>
          <w:rFonts w:ascii="Times New Roman" w:eastAsia="Times New Roman" w:hAnsi="Times New Roman" w:cs="Times New Roman"/>
          <w:color w:val="000000"/>
          <w:sz w:val="24"/>
          <w:szCs w:val="24"/>
          <w:lang w:eastAsia="fr-FR"/>
        </w:rPr>
        <w:t xml:space="preserve"> survenant très fréquemment (chez environ la moitié des patients).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La leucopénie est l'effet indésirable le plus souvent observé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dans cette population ; neutropénie, anémie et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 xml:space="preserve"> ont été observées. Ces effets peuvent survenir dès le début du traitement. La toxicité hématologique peut imposer une réduction des doses ou l'arrêt ou le report du traitement. Interrompre temporairement le traitement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chez les patients dont le taux de polynucléaires neutrophiles est &lt; 1000/mm</w:t>
      </w:r>
      <w:r w:rsidRPr="00474A2B">
        <w:rPr>
          <w:rFonts w:ascii="Verdana" w:eastAsia="Times New Roman" w:hAnsi="Verdana" w:cs="Times New Roman"/>
          <w:color w:val="000000"/>
          <w:sz w:val="20"/>
          <w:szCs w:val="20"/>
          <w:vertAlign w:val="superscript"/>
          <w:lang w:eastAsia="fr-FR"/>
        </w:rPr>
        <w:t>3</w:t>
      </w:r>
      <w:r w:rsidRPr="00474A2B">
        <w:rPr>
          <w:rFonts w:ascii="Times New Roman" w:eastAsia="Times New Roman" w:hAnsi="Times New Roman" w:cs="Times New Roman"/>
          <w:color w:val="000000"/>
          <w:sz w:val="24"/>
          <w:szCs w:val="24"/>
          <w:lang w:eastAsia="fr-FR"/>
        </w:rPr>
        <w:t xml:space="preserve"> et/ou le taux des plaquettes &lt; 50 000/mm</w:t>
      </w:r>
      <w:r w:rsidRPr="00474A2B">
        <w:rPr>
          <w:rFonts w:ascii="Verdana" w:eastAsia="Times New Roman" w:hAnsi="Verdana" w:cs="Times New Roman"/>
          <w:color w:val="000000"/>
          <w:sz w:val="20"/>
          <w:szCs w:val="20"/>
          <w:vertAlign w:val="superscript"/>
          <w:lang w:eastAsia="fr-FR"/>
        </w:rPr>
        <w:t>3</w:t>
      </w:r>
      <w:r w:rsidRPr="00474A2B">
        <w:rPr>
          <w:rFonts w:ascii="Times New Roman" w:eastAsia="Times New Roman" w:hAnsi="Times New Roman" w:cs="Times New Roman"/>
          <w:color w:val="000000"/>
          <w:sz w:val="24"/>
          <w:szCs w:val="24"/>
          <w:lang w:eastAsia="fr-FR"/>
        </w:rPr>
        <w:t>. Des facteurs de croissance G-CSF (ou GM-CSF) peuvent être prescrits comme traitement complémentaire pour améliorer la numération lorsque le taux des polynucléaires neutrophiles est &lt; 1000/mm</w:t>
      </w:r>
      <w:r w:rsidRPr="00474A2B">
        <w:rPr>
          <w:rFonts w:ascii="Verdana" w:eastAsia="Times New Roman" w:hAnsi="Verdana" w:cs="Times New Roman"/>
          <w:color w:val="000000"/>
          <w:sz w:val="20"/>
          <w:szCs w:val="20"/>
          <w:vertAlign w:val="superscript"/>
          <w:lang w:eastAsia="fr-FR"/>
        </w:rPr>
        <w:t>3</w:t>
      </w:r>
      <w:r w:rsidRPr="00474A2B">
        <w:rPr>
          <w:rFonts w:ascii="Times New Roman" w:eastAsia="Times New Roman" w:hAnsi="Times New Roman" w:cs="Times New Roman"/>
          <w:color w:val="000000"/>
          <w:sz w:val="24"/>
          <w:szCs w:val="24"/>
          <w:lang w:eastAsia="fr-FR"/>
        </w:rPr>
        <w:t xml:space="preserve"> lors des cycles suivants. La toxicité hématologique des patientes avec cancer ovarien est moins sévère que celle du groupe SK-sida (voir ci-dessus la rubrique pour les patientes avec cancer ovarien).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Des effets indésirables respiratoires ont été fréquemment observés au cours des études cliniques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et peuvent être liés à des infections opportunistes chez les patients atteints du sida. Les infections opportunistes (IO) sont observées dans le sarcome de Kaposi après administration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et sont couramment </w:t>
      </w:r>
      <w:r w:rsidRPr="00474A2B">
        <w:rPr>
          <w:rFonts w:ascii="Times New Roman" w:eastAsia="Times New Roman" w:hAnsi="Times New Roman" w:cs="Times New Roman"/>
          <w:color w:val="000000"/>
          <w:sz w:val="24"/>
          <w:szCs w:val="24"/>
          <w:lang w:eastAsia="fr-FR"/>
        </w:rPr>
        <w:lastRenderedPageBreak/>
        <w:t xml:space="preserve">observées chez la plupart des patients atteints d'une immunodéficience liée au VIH. Les IO le plus souvent observées dans les études cliniques furent les candidoses, les infections à cytomégalovirus, à Herpes simplex, les pneumopathies à </w:t>
      </w:r>
      <w:proofErr w:type="spellStart"/>
      <w:r w:rsidRPr="00474A2B">
        <w:rPr>
          <w:rFonts w:ascii="Times New Roman" w:eastAsia="Times New Roman" w:hAnsi="Times New Roman" w:cs="Times New Roman"/>
          <w:color w:val="000000"/>
          <w:sz w:val="24"/>
          <w:szCs w:val="24"/>
          <w:lang w:eastAsia="fr-FR"/>
        </w:rPr>
        <w:t>Pneumocystis</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carinii</w:t>
      </w:r>
      <w:proofErr w:type="spellEnd"/>
      <w:r w:rsidRPr="00474A2B">
        <w:rPr>
          <w:rFonts w:ascii="Times New Roman" w:eastAsia="Times New Roman" w:hAnsi="Times New Roman" w:cs="Times New Roman"/>
          <w:color w:val="000000"/>
          <w:sz w:val="24"/>
          <w:szCs w:val="24"/>
          <w:lang w:eastAsia="fr-FR"/>
        </w:rPr>
        <w:t xml:space="preserve"> et les infections à </w:t>
      </w:r>
      <w:proofErr w:type="spellStart"/>
      <w:r w:rsidRPr="00474A2B">
        <w:rPr>
          <w:rFonts w:ascii="Times New Roman" w:eastAsia="Times New Roman" w:hAnsi="Times New Roman" w:cs="Times New Roman"/>
          <w:color w:val="000000"/>
          <w:sz w:val="24"/>
          <w:szCs w:val="24"/>
          <w:lang w:eastAsia="fr-FR"/>
        </w:rPr>
        <w:t>Mycobacterium</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avium</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complex</w:t>
      </w:r>
      <w:proofErr w:type="spellEnd"/>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Les effets indésirables observés chez les patients avec SK-SIDA selon les catégories de fréquence CIOMS III (très fréquent [&gt; 1/10] ; fréquent [&gt; 1/100, &lt; 1/10] ; peu fréquent [&gt; 1/1000, &lt; 1/100]) sont tels que :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Infections et infestations : </w:t>
      </w:r>
    </w:p>
    <w:p w:rsidR="00EE14EF" w:rsidRPr="00474A2B" w:rsidRDefault="00EE14EF" w:rsidP="00EE14EF">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candidose orale.</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hématologiques et du système lymphatique : </w:t>
      </w:r>
    </w:p>
    <w:p w:rsidR="00EE14EF" w:rsidRPr="00474A2B" w:rsidRDefault="00EE14EF" w:rsidP="00EE14EF">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Très fréquent : neutropénie, anémie, leucopénie.</w:t>
      </w:r>
    </w:p>
    <w:p w:rsidR="00EE14EF" w:rsidRPr="00474A2B" w:rsidRDefault="00EE14EF" w:rsidP="00EE14EF">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Fréquent :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Troubles du métabolisme et de la nutrition : </w:t>
      </w:r>
    </w:p>
    <w:p w:rsidR="00EE14EF" w:rsidRPr="00474A2B" w:rsidRDefault="00EE14EF" w:rsidP="00EE14EF">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anorexie.</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psychiatriques : </w:t>
      </w:r>
    </w:p>
    <w:p w:rsidR="00EE14EF" w:rsidRPr="00474A2B" w:rsidRDefault="00EE14EF" w:rsidP="00EE14EF">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Peu fréquent : confusion.</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du système nerveux : </w:t>
      </w:r>
    </w:p>
    <w:p w:rsidR="00EE14EF" w:rsidRPr="00474A2B" w:rsidRDefault="00EE14EF" w:rsidP="00EE14EF">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étourdissements.</w:t>
      </w:r>
    </w:p>
    <w:p w:rsidR="00EE14EF" w:rsidRPr="00474A2B" w:rsidRDefault="00EE14EF" w:rsidP="00EE14EF">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Peu fréquent : paresthésie.</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oculaires : </w:t>
      </w:r>
    </w:p>
    <w:p w:rsidR="00EE14EF" w:rsidRPr="00474A2B" w:rsidRDefault="00EE14EF" w:rsidP="00EE14EF">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rétinite.</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vasculaires : </w:t>
      </w:r>
    </w:p>
    <w:p w:rsidR="00EE14EF" w:rsidRPr="00474A2B" w:rsidRDefault="00EE14EF" w:rsidP="00EE14EF">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vasodilatation.</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respiratoires, thoraciques et </w:t>
      </w:r>
      <w:proofErr w:type="spellStart"/>
      <w:r w:rsidRPr="00474A2B">
        <w:rPr>
          <w:rFonts w:ascii="Times New Roman" w:eastAsia="Times New Roman" w:hAnsi="Times New Roman" w:cs="Times New Roman"/>
          <w:color w:val="000000"/>
          <w:sz w:val="24"/>
          <w:szCs w:val="24"/>
          <w:lang w:eastAsia="fr-FR"/>
        </w:rPr>
        <w:t>médiastinales</w:t>
      </w:r>
      <w:proofErr w:type="spellEnd"/>
      <w:r w:rsidRPr="00474A2B">
        <w:rPr>
          <w:rFonts w:ascii="Times New Roman" w:eastAsia="Times New Roman" w:hAnsi="Times New Roman" w:cs="Times New Roman"/>
          <w:color w:val="000000"/>
          <w:sz w:val="24"/>
          <w:szCs w:val="24"/>
          <w:lang w:eastAsia="fr-FR"/>
        </w:rPr>
        <w:t xml:space="preserve"> : </w:t>
      </w:r>
    </w:p>
    <w:p w:rsidR="00EE14EF" w:rsidRPr="00474A2B" w:rsidRDefault="00EE14EF" w:rsidP="00EE14EF">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dyspnée.</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gastro-intestinales : </w:t>
      </w:r>
    </w:p>
    <w:p w:rsidR="00EE14EF" w:rsidRPr="00474A2B" w:rsidRDefault="00EE14EF" w:rsidP="00EE14EF">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Très fréquent : nausée.</w:t>
      </w:r>
    </w:p>
    <w:p w:rsidR="00EE14EF" w:rsidRPr="00474A2B" w:rsidRDefault="00EE14EF" w:rsidP="00EE14EF">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diarrhée, stomatite, vomissement, ulcération buccale, douleur abdominale, glossite, constipation, nausée et vomissement.</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Affections de la peau et du tissu sous-cutané : </w:t>
      </w:r>
    </w:p>
    <w:p w:rsidR="00EE14EF" w:rsidRPr="00474A2B" w:rsidRDefault="00EE14EF" w:rsidP="00EE14E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alopécie, rash.</w:t>
      </w:r>
    </w:p>
    <w:p w:rsidR="00EE14EF" w:rsidRPr="00474A2B" w:rsidRDefault="00EE14EF" w:rsidP="00EE14E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Peu fréquent : </w:t>
      </w:r>
      <w:proofErr w:type="spellStart"/>
      <w:r w:rsidRPr="00474A2B">
        <w:rPr>
          <w:rFonts w:ascii="Times New Roman" w:eastAsia="Times New Roman" w:hAnsi="Times New Roman" w:cs="Times New Roman"/>
          <w:color w:val="000000"/>
          <w:sz w:val="24"/>
          <w:szCs w:val="24"/>
          <w:lang w:eastAsia="fr-FR"/>
        </w:rPr>
        <w:t>érythrodysthésie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palmoplantaire</w:t>
      </w:r>
      <w:proofErr w:type="spellEnd"/>
      <w:r w:rsidRPr="00474A2B">
        <w:rPr>
          <w:rFonts w:ascii="Times New Roman" w:eastAsia="Times New Roman" w:hAnsi="Times New Roman" w:cs="Times New Roman"/>
          <w:color w:val="000000"/>
          <w:sz w:val="24"/>
          <w:szCs w:val="24"/>
          <w:lang w:eastAsia="fr-FR"/>
        </w:rPr>
        <w:t xml:space="preserve"> (EPP).</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Troubles généraux et anomalies au site d'administration : </w:t>
      </w:r>
    </w:p>
    <w:p w:rsidR="00EE14EF" w:rsidRPr="00474A2B" w:rsidRDefault="00EE14EF" w:rsidP="00EE14EF">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asthénie, fièvre, réactions aiguës liées à la perfusion.</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Investigations : </w:t>
      </w:r>
    </w:p>
    <w:p w:rsidR="00EE14EF" w:rsidRPr="00474A2B" w:rsidRDefault="00EE14EF" w:rsidP="00EE14E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Fréquent : perte de poids.</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Les autres effets indésirables moins souvent observés (&lt; 5 %) comprenaient des réactions d'hypersensibilité, y compris réactions anaphylactiques. Depuis la mise sur marché, une éruption bulleuse a été rarement rapportée au sein de cette population.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Des tests anormaux de la fonction hépatique cliniquement significatifs, tels qu'augmentations des phosphatases alcalines, des ASAT et de la bilirubine, sans doute liées à la maladie sous-jacente et non à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sont fréquemment survenus (&gt;= 5 %). Une baisse de l'hémoglobine et du taux des plaquettes a été moins souvent observée (&lt; 5 %). Une septicémie liée à la leucopénie est rarement observée (&lt; 1 %). Quelques-unes de ces anomalies peuvent avoir été liées à l'infection sous-jacente par le VIH et non à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Tous les patients :</w:t>
      </w:r>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Sur 929 patients avec tumeurs solides, 100 (10,8 %) ont eu, pendant le traitement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une réaction associée à la perfusion définie suivant la terminologie de </w:t>
      </w:r>
      <w:proofErr w:type="spellStart"/>
      <w:r w:rsidRPr="00474A2B">
        <w:rPr>
          <w:rFonts w:ascii="Times New Roman" w:eastAsia="Times New Roman" w:hAnsi="Times New Roman" w:cs="Times New Roman"/>
          <w:color w:val="000000"/>
          <w:sz w:val="24"/>
          <w:szCs w:val="24"/>
          <w:lang w:eastAsia="fr-FR"/>
        </w:rPr>
        <w:t>Costart</w:t>
      </w:r>
      <w:proofErr w:type="spellEnd"/>
      <w:r w:rsidRPr="00474A2B">
        <w:rPr>
          <w:rFonts w:ascii="Times New Roman" w:eastAsia="Times New Roman" w:hAnsi="Times New Roman" w:cs="Times New Roman"/>
          <w:color w:val="000000"/>
          <w:sz w:val="24"/>
          <w:szCs w:val="24"/>
          <w:lang w:eastAsia="fr-FR"/>
        </w:rPr>
        <w:t xml:space="preserve"> : réaction allergique, réaction anaphylactique, asthme, </w:t>
      </w:r>
      <w:proofErr w:type="spellStart"/>
      <w:r w:rsidRPr="00474A2B">
        <w:rPr>
          <w:rFonts w:ascii="Times New Roman" w:eastAsia="Times New Roman" w:hAnsi="Times New Roman" w:cs="Times New Roman"/>
          <w:color w:val="000000"/>
          <w:sz w:val="24"/>
          <w:szCs w:val="24"/>
          <w:lang w:eastAsia="fr-FR"/>
        </w:rPr>
        <w:t>oedème</w:t>
      </w:r>
      <w:proofErr w:type="spellEnd"/>
      <w:r w:rsidRPr="00474A2B">
        <w:rPr>
          <w:rFonts w:ascii="Times New Roman" w:eastAsia="Times New Roman" w:hAnsi="Times New Roman" w:cs="Times New Roman"/>
          <w:color w:val="000000"/>
          <w:sz w:val="24"/>
          <w:szCs w:val="24"/>
          <w:lang w:eastAsia="fr-FR"/>
        </w:rPr>
        <w:t xml:space="preserve"> de la face, hypotension, vasodilatation, urticaire, douleur dorsale, douleur thoracique, frissons, fièvre, hypertension, tachycardie, dyspepsie, nausées, étourdissements, dyspnée, pharyngite, rash, prurit, sueurs, réaction au point d'injection et interaction médicamenteuse. L'arrêt définitif du traitement est survenu de façon peu fréquente chez 2 % des patients. Un taux similaire de réactions à la perfusion (12,4 %) et d'arrêt définitif du traitement (1,5 %) a été observé au cours des études pivots sur le cancer du sein. Chez les patients avec myélome multiple recevant l'association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  </w:t>
      </w:r>
      <w:proofErr w:type="spellStart"/>
      <w:r w:rsidRPr="00474A2B">
        <w:rPr>
          <w:rFonts w:ascii="Times New Roman" w:eastAsia="Times New Roman" w:hAnsi="Times New Roman" w:cs="Times New Roman"/>
          <w:color w:val="000000"/>
          <w:sz w:val="24"/>
          <w:szCs w:val="24"/>
          <w:lang w:eastAsia="fr-FR"/>
        </w:rPr>
        <w:t>bortézomib</w:t>
      </w:r>
      <w:proofErr w:type="spellEnd"/>
      <w:r w:rsidRPr="00474A2B">
        <w:rPr>
          <w:rFonts w:ascii="Times New Roman" w:eastAsia="Times New Roman" w:hAnsi="Times New Roman" w:cs="Times New Roman"/>
          <w:color w:val="000000"/>
          <w:sz w:val="24"/>
          <w:szCs w:val="24"/>
          <w:lang w:eastAsia="fr-FR"/>
        </w:rPr>
        <w:t xml:space="preserve">, le taux de réactions associées à la perfusion était de 3 %. Chez les patients avec SK-sida, les réactions associées à la perfusion étaient caractérisées par : bouffée de chaleur, raccourcissement du souffle, </w:t>
      </w:r>
      <w:proofErr w:type="spellStart"/>
      <w:r w:rsidRPr="00474A2B">
        <w:rPr>
          <w:rFonts w:ascii="Times New Roman" w:eastAsia="Times New Roman" w:hAnsi="Times New Roman" w:cs="Times New Roman"/>
          <w:color w:val="000000"/>
          <w:sz w:val="24"/>
          <w:szCs w:val="24"/>
          <w:lang w:eastAsia="fr-FR"/>
        </w:rPr>
        <w:t>oedème</w:t>
      </w:r>
      <w:proofErr w:type="spellEnd"/>
      <w:r w:rsidRPr="00474A2B">
        <w:rPr>
          <w:rFonts w:ascii="Times New Roman" w:eastAsia="Times New Roman" w:hAnsi="Times New Roman" w:cs="Times New Roman"/>
          <w:color w:val="000000"/>
          <w:sz w:val="24"/>
          <w:szCs w:val="24"/>
          <w:lang w:eastAsia="fr-FR"/>
        </w:rPr>
        <w:t xml:space="preserve"> facial, céphalée, frissons, douleur dorsale, oppression thoracique et de la gorge et/ou hypotension, et peuvent être attendues avec un taux de 5 % à 10 %. Des convulsions liées aux réactions à la perfusion ont été très rarement observées. Chez tous les patients, ces réactions liées à la perfusion surviennent principalement au cours de la première perfusion. L'interruption temporaire de la perfusion résout habituellement ces symptômes sans traitement supplémentaire. Chez pratiquement tous les patients, le traitement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peut être poursuivi une fois que tous les symptômes sont résolus sans récidive. Les réactions à la perfusion réapparaissent rarement après le 1</w:t>
      </w:r>
      <w:r w:rsidRPr="00474A2B">
        <w:rPr>
          <w:rFonts w:ascii="Verdana" w:eastAsia="Times New Roman" w:hAnsi="Verdana" w:cs="Times New Roman"/>
          <w:color w:val="000000"/>
          <w:sz w:val="20"/>
          <w:szCs w:val="20"/>
          <w:vertAlign w:val="superscript"/>
          <w:lang w:eastAsia="fr-FR"/>
        </w:rPr>
        <w:t>er</w:t>
      </w:r>
      <w:r w:rsidRPr="00474A2B">
        <w:rPr>
          <w:rFonts w:ascii="Times New Roman" w:eastAsia="Times New Roman" w:hAnsi="Times New Roman" w:cs="Times New Roman"/>
          <w:color w:val="000000"/>
          <w:sz w:val="24"/>
          <w:szCs w:val="24"/>
          <w:lang w:eastAsia="fr-FR"/>
        </w:rPr>
        <w:t xml:space="preserve"> cycle de traitement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cf</w:t>
      </w:r>
      <w:proofErr w:type="spellEnd"/>
      <w:r w:rsidRPr="00474A2B">
        <w:rPr>
          <w:rFonts w:ascii="Times New Roman" w:eastAsia="Times New Roman" w:hAnsi="Times New Roman" w:cs="Times New Roman"/>
          <w:color w:val="000000"/>
          <w:sz w:val="24"/>
          <w:szCs w:val="24"/>
          <w:lang w:eastAsia="fr-FR"/>
        </w:rPr>
        <w:t xml:space="preserve"> Posologie et Mode d'administration).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Chez les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une </w:t>
      </w:r>
      <w:proofErr w:type="spellStart"/>
      <w:r w:rsidRPr="00474A2B">
        <w:rPr>
          <w:rFonts w:ascii="Times New Roman" w:eastAsia="Times New Roman" w:hAnsi="Times New Roman" w:cs="Times New Roman"/>
          <w:color w:val="000000"/>
          <w:sz w:val="24"/>
          <w:szCs w:val="24"/>
          <w:lang w:eastAsia="fr-FR"/>
        </w:rPr>
        <w:t>myélosuppression</w:t>
      </w:r>
      <w:proofErr w:type="spellEnd"/>
      <w:r w:rsidRPr="00474A2B">
        <w:rPr>
          <w:rFonts w:ascii="Times New Roman" w:eastAsia="Times New Roman" w:hAnsi="Times New Roman" w:cs="Times New Roman"/>
          <w:color w:val="000000"/>
          <w:sz w:val="24"/>
          <w:szCs w:val="24"/>
          <w:lang w:eastAsia="fr-FR"/>
        </w:rPr>
        <w:t xml:space="preserve"> associée à une anémie, une </w:t>
      </w:r>
      <w:proofErr w:type="spellStart"/>
      <w:r w:rsidRPr="00474A2B">
        <w:rPr>
          <w:rFonts w:ascii="Times New Roman" w:eastAsia="Times New Roman" w:hAnsi="Times New Roman" w:cs="Times New Roman"/>
          <w:color w:val="000000"/>
          <w:sz w:val="24"/>
          <w:szCs w:val="24"/>
          <w:lang w:eastAsia="fr-FR"/>
        </w:rPr>
        <w:t>thrombocytopénie</w:t>
      </w:r>
      <w:proofErr w:type="spellEnd"/>
      <w:r w:rsidRPr="00474A2B">
        <w:rPr>
          <w:rFonts w:ascii="Times New Roman" w:eastAsia="Times New Roman" w:hAnsi="Times New Roman" w:cs="Times New Roman"/>
          <w:color w:val="000000"/>
          <w:sz w:val="24"/>
          <w:szCs w:val="24"/>
          <w:lang w:eastAsia="fr-FR"/>
        </w:rPr>
        <w:t xml:space="preserve">, une leucopénie et rarement une neutropénie fébrile ont été rapportées.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Une stomatite a été observée chez des patients recevant des perfusions continues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conventionnel et a été fréquemment rapportée chez les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Cet effet n'interfère pas dans la poursuite du traitement et ne requiert généralement pas de modifications </w:t>
      </w:r>
      <w:proofErr w:type="spellStart"/>
      <w:r w:rsidRPr="00474A2B">
        <w:rPr>
          <w:rFonts w:ascii="Times New Roman" w:eastAsia="Times New Roman" w:hAnsi="Times New Roman" w:cs="Times New Roman"/>
          <w:color w:val="000000"/>
          <w:sz w:val="24"/>
          <w:szCs w:val="24"/>
          <w:lang w:eastAsia="fr-FR"/>
        </w:rPr>
        <w:t>posologiques</w:t>
      </w:r>
      <w:proofErr w:type="spellEnd"/>
      <w:r w:rsidRPr="00474A2B">
        <w:rPr>
          <w:rFonts w:ascii="Times New Roman" w:eastAsia="Times New Roman" w:hAnsi="Times New Roman" w:cs="Times New Roman"/>
          <w:color w:val="000000"/>
          <w:sz w:val="24"/>
          <w:szCs w:val="24"/>
          <w:lang w:eastAsia="fr-FR"/>
        </w:rPr>
        <w:t xml:space="preserve"> sauf s'il </w:t>
      </w:r>
      <w:r w:rsidRPr="00474A2B">
        <w:rPr>
          <w:rFonts w:ascii="Times New Roman" w:eastAsia="Times New Roman" w:hAnsi="Times New Roman" w:cs="Times New Roman"/>
          <w:color w:val="000000"/>
          <w:sz w:val="24"/>
          <w:szCs w:val="24"/>
          <w:lang w:eastAsia="fr-FR"/>
        </w:rPr>
        <w:lastRenderedPageBreak/>
        <w:t>entrave l'alimentation du patient. Dans ce cas, l'intervalle des cures peut être prolongé de 1 à 2 semaines, ou la dose réduite (</w:t>
      </w:r>
      <w:proofErr w:type="spellStart"/>
      <w:r w:rsidRPr="00474A2B">
        <w:rPr>
          <w:rFonts w:ascii="Times New Roman" w:eastAsia="Times New Roman" w:hAnsi="Times New Roman" w:cs="Times New Roman"/>
          <w:color w:val="000000"/>
          <w:sz w:val="24"/>
          <w:szCs w:val="24"/>
          <w:lang w:eastAsia="fr-FR"/>
        </w:rPr>
        <w:t>cf</w:t>
      </w:r>
      <w:proofErr w:type="spellEnd"/>
      <w:r w:rsidRPr="00474A2B">
        <w:rPr>
          <w:rFonts w:ascii="Times New Roman" w:eastAsia="Times New Roman" w:hAnsi="Times New Roman" w:cs="Times New Roman"/>
          <w:color w:val="000000"/>
          <w:sz w:val="24"/>
          <w:szCs w:val="24"/>
          <w:lang w:eastAsia="fr-FR"/>
        </w:rPr>
        <w:t xml:space="preserve"> Posologie et Mode d'administration).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Une incidence accrue d'insuffisance cardiaque congestive est associée au traitement à base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pour des doses cumulées individuelles &gt; 450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ou à des doses plus faibles chez des patients ayant un facteur de risque cardiaque. Des biopsies </w:t>
      </w:r>
      <w:proofErr w:type="spellStart"/>
      <w:r w:rsidRPr="00474A2B">
        <w:rPr>
          <w:rFonts w:ascii="Times New Roman" w:eastAsia="Times New Roman" w:hAnsi="Times New Roman" w:cs="Times New Roman"/>
          <w:color w:val="000000"/>
          <w:sz w:val="24"/>
          <w:szCs w:val="24"/>
          <w:lang w:eastAsia="fr-FR"/>
        </w:rPr>
        <w:t>endomyocardiques</w:t>
      </w:r>
      <w:proofErr w:type="spellEnd"/>
      <w:r w:rsidRPr="00474A2B">
        <w:rPr>
          <w:rFonts w:ascii="Times New Roman" w:eastAsia="Times New Roman" w:hAnsi="Times New Roman" w:cs="Times New Roman"/>
          <w:color w:val="000000"/>
          <w:sz w:val="24"/>
          <w:szCs w:val="24"/>
          <w:lang w:eastAsia="fr-FR"/>
        </w:rPr>
        <w:t xml:space="preserve"> chez 9 sur 10 patients avec SK-sida recevant des doses cumulées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supérieures à 460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n'indiquent pas de cardiomyopathie induite par l'</w:t>
      </w:r>
      <w:proofErr w:type="spellStart"/>
      <w:r w:rsidRPr="00474A2B">
        <w:rPr>
          <w:rFonts w:ascii="Times New Roman" w:eastAsia="Times New Roman" w:hAnsi="Times New Roman" w:cs="Times New Roman"/>
          <w:color w:val="000000"/>
          <w:sz w:val="24"/>
          <w:szCs w:val="24"/>
          <w:lang w:eastAsia="fr-FR"/>
        </w:rPr>
        <w:t>anthracycline</w:t>
      </w:r>
      <w:proofErr w:type="spellEnd"/>
      <w:r w:rsidRPr="00474A2B">
        <w:rPr>
          <w:rFonts w:ascii="Times New Roman" w:eastAsia="Times New Roman" w:hAnsi="Times New Roman" w:cs="Times New Roman"/>
          <w:color w:val="000000"/>
          <w:sz w:val="24"/>
          <w:szCs w:val="24"/>
          <w:lang w:eastAsia="fr-FR"/>
        </w:rPr>
        <w:t xml:space="preserve">. La dose recommandée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pour le sarcome de Kaposi associé au sida est de 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2 à 3 semaines. La dose cumulée pour laquelle on pourrait craindre une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chez ces patients SK-sida (&gt; 400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correspond à plus de 20 cycles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pendant 40 à 60 semaines.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De plus, des biopsies </w:t>
      </w:r>
      <w:proofErr w:type="spellStart"/>
      <w:r w:rsidRPr="00474A2B">
        <w:rPr>
          <w:rFonts w:ascii="Times New Roman" w:eastAsia="Times New Roman" w:hAnsi="Times New Roman" w:cs="Times New Roman"/>
          <w:color w:val="000000"/>
          <w:sz w:val="24"/>
          <w:szCs w:val="24"/>
          <w:lang w:eastAsia="fr-FR"/>
        </w:rPr>
        <w:t>endomyocardiques</w:t>
      </w:r>
      <w:proofErr w:type="spellEnd"/>
      <w:r w:rsidRPr="00474A2B">
        <w:rPr>
          <w:rFonts w:ascii="Times New Roman" w:eastAsia="Times New Roman" w:hAnsi="Times New Roman" w:cs="Times New Roman"/>
          <w:color w:val="000000"/>
          <w:sz w:val="24"/>
          <w:szCs w:val="24"/>
          <w:lang w:eastAsia="fr-FR"/>
        </w:rPr>
        <w:t xml:space="preserve"> ont été effectuées chez 8 patients avec tumeur solide avec des doses d'</w:t>
      </w:r>
      <w:proofErr w:type="spellStart"/>
      <w:r w:rsidRPr="00474A2B">
        <w:rPr>
          <w:rFonts w:ascii="Times New Roman" w:eastAsia="Times New Roman" w:hAnsi="Times New Roman" w:cs="Times New Roman"/>
          <w:color w:val="000000"/>
          <w:sz w:val="24"/>
          <w:szCs w:val="24"/>
          <w:lang w:eastAsia="fr-FR"/>
        </w:rPr>
        <w:t>anthracycline</w:t>
      </w:r>
      <w:proofErr w:type="spellEnd"/>
      <w:r w:rsidRPr="00474A2B">
        <w:rPr>
          <w:rFonts w:ascii="Times New Roman" w:eastAsia="Times New Roman" w:hAnsi="Times New Roman" w:cs="Times New Roman"/>
          <w:color w:val="000000"/>
          <w:sz w:val="24"/>
          <w:szCs w:val="24"/>
          <w:lang w:eastAsia="fr-FR"/>
        </w:rPr>
        <w:t xml:space="preserve"> cumulées de 509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-1680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La fourchette des scores de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de </w:t>
      </w:r>
      <w:proofErr w:type="spellStart"/>
      <w:r w:rsidRPr="00474A2B">
        <w:rPr>
          <w:rFonts w:ascii="Times New Roman" w:eastAsia="Times New Roman" w:hAnsi="Times New Roman" w:cs="Times New Roman"/>
          <w:color w:val="000000"/>
          <w:sz w:val="24"/>
          <w:szCs w:val="24"/>
          <w:lang w:eastAsia="fr-FR"/>
        </w:rPr>
        <w:t>Billingham</w:t>
      </w:r>
      <w:proofErr w:type="spellEnd"/>
      <w:r w:rsidRPr="00474A2B">
        <w:rPr>
          <w:rFonts w:ascii="Times New Roman" w:eastAsia="Times New Roman" w:hAnsi="Times New Roman" w:cs="Times New Roman"/>
          <w:color w:val="000000"/>
          <w:sz w:val="24"/>
          <w:szCs w:val="24"/>
          <w:lang w:eastAsia="fr-FR"/>
        </w:rPr>
        <w:t xml:space="preserve"> était de grade 0-1,5. Ces niveaux de score sont cohérents avec une absence de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ou une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faible.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Dans l'étude pivot de phase III versus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58/509 (11,4 %) patients randomisés (10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à la dose de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4 semaines contre 48 traités par la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à la dose de 60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toutes les 3 semaines) ont bien présenté les critères définissant la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pendant le traitement et/ou pendant le suivi. La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était définie soit par une baisse de 20 points ou plus par rapport à la valeur de base si la mesure de la fraction d'éjection ventriculaire gauche (FEVG) au repos demeurait dans les limites normales, soit par une baisse de 10 points ou plus si la mesure de la FEVG devenait anormale (plus faible que la limite inférieure normale). Aucun des 10 patients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présentant une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basée sur les critères FEVG tels que définis ci-dessus n'a développé de signes et symptômes d'insuffisance cardiaque congestive. Par contre, 10 des 48 patients traités par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présentant une </w:t>
      </w:r>
      <w:proofErr w:type="spellStart"/>
      <w:r w:rsidRPr="00474A2B">
        <w:rPr>
          <w:rFonts w:ascii="Times New Roman" w:eastAsia="Times New Roman" w:hAnsi="Times New Roman" w:cs="Times New Roman"/>
          <w:color w:val="000000"/>
          <w:sz w:val="24"/>
          <w:szCs w:val="24"/>
          <w:lang w:eastAsia="fr-FR"/>
        </w:rPr>
        <w:t>cardiotoxicité</w:t>
      </w:r>
      <w:proofErr w:type="spellEnd"/>
      <w:r w:rsidRPr="00474A2B">
        <w:rPr>
          <w:rFonts w:ascii="Times New Roman" w:eastAsia="Times New Roman" w:hAnsi="Times New Roman" w:cs="Times New Roman"/>
          <w:color w:val="000000"/>
          <w:sz w:val="24"/>
          <w:szCs w:val="24"/>
          <w:lang w:eastAsia="fr-FR"/>
        </w:rPr>
        <w:t xml:space="preserve"> basée sur ces mêmes critères ont développé des signes et symptômes d'insuffisance cardiaque congestive.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Chez les patients avec tumeurs solides, dont le sous-groupe de patients avec cancer du sein et de l'ovaire, traités à la dose de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/cycle avec des doses cumulées individuelles d'</w:t>
      </w:r>
      <w:proofErr w:type="spellStart"/>
      <w:r w:rsidRPr="00474A2B">
        <w:rPr>
          <w:rFonts w:ascii="Times New Roman" w:eastAsia="Times New Roman" w:hAnsi="Times New Roman" w:cs="Times New Roman"/>
          <w:color w:val="000000"/>
          <w:sz w:val="24"/>
          <w:szCs w:val="24"/>
          <w:lang w:eastAsia="fr-FR"/>
        </w:rPr>
        <w:t>anthracycline</w:t>
      </w:r>
      <w:proofErr w:type="spellEnd"/>
      <w:r w:rsidRPr="00474A2B">
        <w:rPr>
          <w:rFonts w:ascii="Times New Roman" w:eastAsia="Times New Roman" w:hAnsi="Times New Roman" w:cs="Times New Roman"/>
          <w:color w:val="000000"/>
          <w:sz w:val="24"/>
          <w:szCs w:val="24"/>
          <w:lang w:eastAsia="fr-FR"/>
        </w:rPr>
        <w:t xml:space="preserve"> allant jusqu'à 1532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l'incidence d'un dysfonctionnement cardiaque cliniquement significatif était faible. Parmi les 418 patients traités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à la dose de 50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/cycle, et ayant eu une mesure de base de la fraction d'éjection ventriculaire gauche (FEVG) et au moins une mesure de suivi évaluées par une scintigraphie myocardique, 88 patients avaient une dose cumulée d'</w:t>
      </w:r>
      <w:proofErr w:type="spellStart"/>
      <w:r w:rsidRPr="00474A2B">
        <w:rPr>
          <w:rFonts w:ascii="Times New Roman" w:eastAsia="Times New Roman" w:hAnsi="Times New Roman" w:cs="Times New Roman"/>
          <w:color w:val="000000"/>
          <w:sz w:val="24"/>
          <w:szCs w:val="24"/>
          <w:lang w:eastAsia="fr-FR"/>
        </w:rPr>
        <w:t>anthracycline</w:t>
      </w:r>
      <w:proofErr w:type="spellEnd"/>
      <w:r w:rsidRPr="00474A2B">
        <w:rPr>
          <w:rFonts w:ascii="Times New Roman" w:eastAsia="Times New Roman" w:hAnsi="Times New Roman" w:cs="Times New Roman"/>
          <w:color w:val="000000"/>
          <w:sz w:val="24"/>
          <w:szCs w:val="24"/>
          <w:lang w:eastAsia="fr-FR"/>
        </w:rPr>
        <w:t xml:space="preserve"> &gt; 400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un niveau d'exposition associé à un risque augmenté de toxicité cardiovasculaire avec une formulation conventionnelle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Seuls 13 des 88 patients (15 %) présentaient au moins un changement cliniquement significatif de leur FEVG, défini par une valeur de FEVG inférieure à 45 % ou une diminution d'au moins 20 points par rapport à la valeur de base. De plus, 1  seul patient (dose cumulée individuelle d'</w:t>
      </w:r>
      <w:proofErr w:type="spellStart"/>
      <w:r w:rsidRPr="00474A2B">
        <w:rPr>
          <w:rFonts w:ascii="Times New Roman" w:eastAsia="Times New Roman" w:hAnsi="Times New Roman" w:cs="Times New Roman"/>
          <w:color w:val="000000"/>
          <w:sz w:val="24"/>
          <w:szCs w:val="24"/>
          <w:lang w:eastAsia="fr-FR"/>
        </w:rPr>
        <w:t>anthracycline</w:t>
      </w:r>
      <w:proofErr w:type="spellEnd"/>
      <w:r w:rsidRPr="00474A2B">
        <w:rPr>
          <w:rFonts w:ascii="Times New Roman" w:eastAsia="Times New Roman" w:hAnsi="Times New Roman" w:cs="Times New Roman"/>
          <w:color w:val="000000"/>
          <w:sz w:val="24"/>
          <w:szCs w:val="24"/>
          <w:lang w:eastAsia="fr-FR"/>
        </w:rPr>
        <w:t xml:space="preserve"> de 944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a arrêté le traitement à l'étude en raison de symptômes cliniques d'insuffisance cardiaque congestive.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Comme avec d'autres agents anticancéreux altérant l'ADN, des syndromes myélodysplasiques et des leucémies aiguës myéloïdes secondaires ont été observés après traitement combiné incluant la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En conséquence, tout patient traité par de la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devrait faire l'objet d'un suivi hématologique.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Bien que la nécrose locale après extravasation ait été très rarement rapportée,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est considéré comme un produit irritant. Les études chez l'animal montrent que l'administration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sous une formulation </w:t>
      </w:r>
      <w:proofErr w:type="spellStart"/>
      <w:r w:rsidRPr="00474A2B">
        <w:rPr>
          <w:rFonts w:ascii="Times New Roman" w:eastAsia="Times New Roman" w:hAnsi="Times New Roman" w:cs="Times New Roman"/>
          <w:color w:val="000000"/>
          <w:sz w:val="24"/>
          <w:szCs w:val="24"/>
          <w:lang w:eastAsia="fr-FR"/>
        </w:rPr>
        <w:t>liposomale</w:t>
      </w:r>
      <w:proofErr w:type="spellEnd"/>
      <w:r w:rsidRPr="00474A2B">
        <w:rPr>
          <w:rFonts w:ascii="Times New Roman" w:eastAsia="Times New Roman" w:hAnsi="Times New Roman" w:cs="Times New Roman"/>
          <w:color w:val="000000"/>
          <w:sz w:val="24"/>
          <w:szCs w:val="24"/>
          <w:lang w:eastAsia="fr-FR"/>
        </w:rPr>
        <w:t xml:space="preserve"> réduit l'éventualité de lésions par extravasation. En cas de signes d'extravasation (par exemple sensation de brûlure, érythème), interrompre la perfusion immédiatement et recommencer dans une autre veine. L'application de glace sur le site d'extravasation pendant environ 30 minutes peut s'avérer utile pour soulager la réaction locale.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ne doit pas être administré par voie intramusculaire ou sous-cutanée.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Une récidive de radiodermite liée à une radiothérapie préalable a été rarement observée après l'administration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Suite à la mise sur le marché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des réactions cutanées sévères comprenant érythème multiforme, syndrome de Stevens-Johnson et </w:t>
      </w:r>
      <w:proofErr w:type="spellStart"/>
      <w:r w:rsidRPr="00474A2B">
        <w:rPr>
          <w:rFonts w:ascii="Times New Roman" w:eastAsia="Times New Roman" w:hAnsi="Times New Roman" w:cs="Times New Roman"/>
          <w:color w:val="000000"/>
          <w:sz w:val="24"/>
          <w:szCs w:val="24"/>
          <w:lang w:eastAsia="fr-FR"/>
        </w:rPr>
        <w:t>nécrolyse</w:t>
      </w:r>
      <w:proofErr w:type="spellEnd"/>
      <w:r w:rsidRPr="00474A2B">
        <w:rPr>
          <w:rFonts w:ascii="Times New Roman" w:eastAsia="Times New Roman" w:hAnsi="Times New Roman" w:cs="Times New Roman"/>
          <w:color w:val="000000"/>
          <w:sz w:val="24"/>
          <w:szCs w:val="24"/>
          <w:lang w:eastAsia="fr-FR"/>
        </w:rPr>
        <w:t xml:space="preserve"> épidermique toxique ont été très rarement rapportées. </w:t>
      </w:r>
    </w:p>
    <w:p w:rsidR="00EE14EF" w:rsidRPr="00474A2B" w:rsidRDefault="00EE14EF" w:rsidP="00EE14EF">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Chez les patients traités avec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des cas d'embolie veineuse, y compris de thrombophlébite, de thrombose veineuse et d'embolie pulmonaire ont été observés de manière inhabituelle. Cependant, sachant que les patients avec un cancer ont un risque augmenté de développer une maladie thromboembolique, un lien de causalité ne peut être déterminé.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FF1"/>
    <w:multiLevelType w:val="multilevel"/>
    <w:tmpl w:val="1EF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76B8C"/>
    <w:multiLevelType w:val="multilevel"/>
    <w:tmpl w:val="3D8E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273FA"/>
    <w:multiLevelType w:val="multilevel"/>
    <w:tmpl w:val="2D5A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04278"/>
    <w:multiLevelType w:val="multilevel"/>
    <w:tmpl w:val="83CE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E5F09"/>
    <w:multiLevelType w:val="multilevel"/>
    <w:tmpl w:val="615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7404E"/>
    <w:multiLevelType w:val="multilevel"/>
    <w:tmpl w:val="56D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C23A4"/>
    <w:multiLevelType w:val="multilevel"/>
    <w:tmpl w:val="1E58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E7706"/>
    <w:multiLevelType w:val="multilevel"/>
    <w:tmpl w:val="F19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4366E"/>
    <w:multiLevelType w:val="multilevel"/>
    <w:tmpl w:val="954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867FB"/>
    <w:multiLevelType w:val="multilevel"/>
    <w:tmpl w:val="900E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31017"/>
    <w:multiLevelType w:val="multilevel"/>
    <w:tmpl w:val="F27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C1CE6"/>
    <w:multiLevelType w:val="multilevel"/>
    <w:tmpl w:val="B97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2"/>
  </w:num>
  <w:num w:numId="5">
    <w:abstractNumId w:val="5"/>
  </w:num>
  <w:num w:numId="6">
    <w:abstractNumId w:val="6"/>
  </w:num>
  <w:num w:numId="7">
    <w:abstractNumId w:val="4"/>
  </w:num>
  <w:num w:numId="8">
    <w:abstractNumId w:val="11"/>
  </w:num>
  <w:num w:numId="9">
    <w:abstractNumId w:val="10"/>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E14EF"/>
    <w:rsid w:val="00017B31"/>
    <w:rsid w:val="0006330F"/>
    <w:rsid w:val="0009769E"/>
    <w:rsid w:val="000C4178"/>
    <w:rsid w:val="00120A2B"/>
    <w:rsid w:val="001931B1"/>
    <w:rsid w:val="001A53D5"/>
    <w:rsid w:val="001B3E26"/>
    <w:rsid w:val="00282113"/>
    <w:rsid w:val="002D0F57"/>
    <w:rsid w:val="003164DC"/>
    <w:rsid w:val="0034030B"/>
    <w:rsid w:val="00370323"/>
    <w:rsid w:val="004276C2"/>
    <w:rsid w:val="004771A7"/>
    <w:rsid w:val="00521B28"/>
    <w:rsid w:val="005630AF"/>
    <w:rsid w:val="00587FAE"/>
    <w:rsid w:val="005F42DC"/>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4EF"/>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4562</Words>
  <Characters>25093</Characters>
  <Application>Microsoft Office Word</Application>
  <DocSecurity>0</DocSecurity>
  <Lines>209</Lines>
  <Paragraphs>59</Paragraphs>
  <ScaleCrop>false</ScaleCrop>
  <Company/>
  <LinksUpToDate>false</LinksUpToDate>
  <CharactersWithSpaces>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2013-11-10T16:59:00Z</dcterms:created>
  <dcterms:modified xsi:type="dcterms:W3CDTF">2013-11-10T17:00:00Z</dcterms:modified>
</cp:coreProperties>
</file>